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CA322" w14:textId="77777777" w:rsidR="004007EF" w:rsidRDefault="00E87790" w:rsidP="004007EF">
      <w:pPr>
        <w:pStyle w:val="Heading3"/>
        <w:ind w:right="-670"/>
      </w:pPr>
      <w:r>
        <w:rPr>
          <w:noProof/>
        </w:rPr>
        <w:drawing>
          <wp:anchor distT="0" distB="0" distL="114300" distR="114300" simplePos="0" relativeHeight="251663360" behindDoc="1" locked="0" layoutInCell="1" allowOverlap="1" wp14:anchorId="12D13D0E" wp14:editId="07777777">
            <wp:simplePos x="0" y="0"/>
            <wp:positionH relativeFrom="column">
              <wp:posOffset>-194944</wp:posOffset>
            </wp:positionH>
            <wp:positionV relativeFrom="paragraph">
              <wp:posOffset>-575945</wp:posOffset>
            </wp:positionV>
            <wp:extent cx="1981200" cy="1376052"/>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mb Liba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84555" cy="1378382"/>
                    </a:xfrm>
                    <a:prstGeom prst="rect">
                      <a:avLst/>
                    </a:prstGeom>
                  </pic:spPr>
                </pic:pic>
              </a:graphicData>
            </a:graphic>
            <wp14:sizeRelH relativeFrom="page">
              <wp14:pctWidth>0</wp14:pctWidth>
            </wp14:sizeRelH>
            <wp14:sizeRelV relativeFrom="page">
              <wp14:pctHeight>0</wp14:pctHeight>
            </wp14:sizeRelV>
          </wp:anchor>
        </w:drawing>
      </w:r>
      <w:r w:rsidR="004007EF">
        <w:rPr>
          <w:rFonts w:ascii="Calibri" w:eastAsia="Calibri" w:hAnsi="Calibri" w:cs="Calibri"/>
          <w:color w:val="FF0000"/>
          <w:sz w:val="36"/>
          <w:szCs w:val="36"/>
        </w:rPr>
        <w:t xml:space="preserve">         </w:t>
      </w:r>
    </w:p>
    <w:p w14:paraId="672A6659" w14:textId="77777777" w:rsidR="003476F7" w:rsidRDefault="003476F7" w:rsidP="00F64747">
      <w:pPr>
        <w:spacing w:after="0"/>
        <w:jc w:val="center"/>
        <w:rPr>
          <w:rFonts w:ascii="Times New Roman" w:hAnsi="Times New Roman" w:cs="Times New Roman"/>
          <w:b/>
          <w:noProof/>
          <w:sz w:val="36"/>
          <w:szCs w:val="36"/>
          <w:lang w:eastAsia="fr-FR"/>
        </w:rPr>
      </w:pPr>
    </w:p>
    <w:p w14:paraId="3A64BC36" w14:textId="77777777" w:rsidR="003476F7" w:rsidRPr="004007EF" w:rsidRDefault="00745859" w:rsidP="004007EF">
      <w:pPr>
        <w:spacing w:after="0"/>
        <w:jc w:val="center"/>
        <w:rPr>
          <w:rFonts w:ascii="Times New Roman" w:hAnsi="Times New Roman" w:cs="Times New Roman"/>
          <w:b/>
          <w:noProof/>
          <w:sz w:val="40"/>
          <w:szCs w:val="40"/>
          <w:lang w:eastAsia="fr-FR"/>
        </w:rPr>
      </w:pPr>
      <w:r>
        <w:rPr>
          <w:rFonts w:ascii="Times New Roman" w:hAnsi="Times New Roman" w:cs="Times New Roman"/>
          <w:b/>
          <w:noProof/>
          <w:sz w:val="40"/>
          <w:szCs w:val="40"/>
          <w:lang w:eastAsia="fr-FR"/>
        </w:rPr>
        <w:t xml:space="preserve">Bourses </w:t>
      </w:r>
      <w:r w:rsidR="004007EF" w:rsidRPr="004007EF">
        <w:rPr>
          <w:rFonts w:ascii="Times New Roman" w:hAnsi="Times New Roman" w:cs="Times New Roman"/>
          <w:b/>
          <w:noProof/>
          <w:sz w:val="40"/>
          <w:szCs w:val="40"/>
          <w:lang w:eastAsia="fr-FR"/>
        </w:rPr>
        <w:t>« </w:t>
      </w:r>
      <w:r>
        <w:rPr>
          <w:rFonts w:ascii="Times New Roman" w:hAnsi="Times New Roman" w:cs="Times New Roman"/>
          <w:b/>
          <w:noProof/>
          <w:sz w:val="40"/>
          <w:szCs w:val="40"/>
          <w:lang w:eastAsia="fr-FR"/>
        </w:rPr>
        <w:t>Forsa</w:t>
      </w:r>
      <w:r w:rsidR="004007EF" w:rsidRPr="004007EF">
        <w:rPr>
          <w:rFonts w:ascii="Times New Roman" w:hAnsi="Times New Roman" w:cs="Times New Roman"/>
          <w:b/>
          <w:noProof/>
          <w:sz w:val="40"/>
          <w:szCs w:val="40"/>
          <w:lang w:eastAsia="fr-FR"/>
        </w:rPr>
        <w:t> »</w:t>
      </w:r>
    </w:p>
    <w:p w14:paraId="772F816F" w14:textId="77777777" w:rsidR="00F424AA" w:rsidRPr="004007EF" w:rsidRDefault="006B6879" w:rsidP="00F64747">
      <w:pPr>
        <w:spacing w:after="0"/>
        <w:jc w:val="center"/>
        <w:rPr>
          <w:rFonts w:ascii="Times New Roman" w:hAnsi="Times New Roman" w:cs="Times New Roman"/>
          <w:b/>
          <w:i/>
          <w:sz w:val="28"/>
          <w:szCs w:val="28"/>
        </w:rPr>
      </w:pPr>
      <w:r w:rsidRPr="004007EF">
        <w:rPr>
          <w:rFonts w:ascii="Times New Roman" w:hAnsi="Times New Roman" w:cs="Times New Roman"/>
          <w:b/>
          <w:i/>
          <w:noProof/>
          <w:sz w:val="28"/>
          <w:szCs w:val="28"/>
          <w:lang w:eastAsia="fr-FR"/>
        </w:rPr>
        <w:t xml:space="preserve">Programme français de bourses </w:t>
      </w:r>
      <w:r w:rsidR="004007EF" w:rsidRPr="004007EF">
        <w:rPr>
          <w:rFonts w:ascii="Times New Roman" w:hAnsi="Times New Roman" w:cs="Times New Roman"/>
          <w:b/>
          <w:i/>
          <w:noProof/>
          <w:sz w:val="28"/>
          <w:szCs w:val="28"/>
          <w:lang w:eastAsia="fr-FR"/>
        </w:rPr>
        <w:t>de Master</w:t>
      </w:r>
    </w:p>
    <w:p w14:paraId="0A37501D" w14:textId="77777777" w:rsidR="004007EF" w:rsidRDefault="004007EF" w:rsidP="00E87790">
      <w:pPr>
        <w:spacing w:after="0"/>
        <w:rPr>
          <w:rFonts w:ascii="Times New Roman" w:hAnsi="Times New Roman" w:cs="Times New Roman"/>
          <w:b/>
          <w:sz w:val="32"/>
          <w:szCs w:val="32"/>
        </w:rPr>
      </w:pPr>
    </w:p>
    <w:p w14:paraId="5DAB6C7B" w14:textId="39F5E258" w:rsidR="00316A9E" w:rsidRDefault="3456FB5F" w:rsidP="3456FB5F">
      <w:pPr>
        <w:spacing w:after="0"/>
        <w:jc w:val="center"/>
        <w:rPr>
          <w:rFonts w:ascii="Times New Roman" w:hAnsi="Times New Roman" w:cs="Times New Roman"/>
          <w:b/>
          <w:bCs/>
          <w:sz w:val="32"/>
          <w:szCs w:val="32"/>
        </w:rPr>
      </w:pPr>
      <w:r w:rsidRPr="3456FB5F">
        <w:rPr>
          <w:rFonts w:ascii="Times New Roman" w:hAnsi="Times New Roman" w:cs="Times New Roman"/>
          <w:b/>
          <w:bCs/>
          <w:sz w:val="32"/>
          <w:szCs w:val="32"/>
        </w:rPr>
        <w:t>Règlement 2022</w:t>
      </w:r>
    </w:p>
    <w:p w14:paraId="69E280DF" w14:textId="6DEFF425" w:rsidR="3456FB5F" w:rsidRDefault="3456FB5F" w:rsidP="3456FB5F">
      <w:pPr>
        <w:spacing w:after="0"/>
        <w:jc w:val="center"/>
        <w:rPr>
          <w:rFonts w:ascii="Times New Roman" w:hAnsi="Times New Roman" w:cs="Times New Roman"/>
          <w:b/>
          <w:bCs/>
          <w:sz w:val="32"/>
          <w:szCs w:val="32"/>
        </w:rPr>
      </w:pPr>
    </w:p>
    <w:p w14:paraId="7699A0D3" w14:textId="47665351" w:rsidR="006B6879" w:rsidRDefault="3456FB5F" w:rsidP="3456FB5F">
      <w:pPr>
        <w:pStyle w:val="NormalWeb"/>
        <w:spacing w:before="0" w:beforeAutospacing="0" w:after="0"/>
        <w:jc w:val="both"/>
      </w:pPr>
      <w:r>
        <w:t xml:space="preserve">Dans le but d’accompagner le développement des compétences nécessaires au Liban, l’Ambassade de France au Liban a lancé en 2019 le programme Forsa, un programme de </w:t>
      </w:r>
      <w:r w:rsidRPr="3456FB5F">
        <w:rPr>
          <w:b/>
          <w:bCs/>
        </w:rPr>
        <w:t>bourses de mobilité pour des</w:t>
      </w:r>
      <w:r>
        <w:t xml:space="preserve"> </w:t>
      </w:r>
      <w:r w:rsidRPr="3456FB5F">
        <w:rPr>
          <w:b/>
          <w:bCs/>
        </w:rPr>
        <w:t>étudiants libanais souhaitant effectuer</w:t>
      </w:r>
      <w:r>
        <w:t xml:space="preserve"> </w:t>
      </w:r>
      <w:r w:rsidRPr="3456FB5F">
        <w:rPr>
          <w:b/>
          <w:bCs/>
        </w:rPr>
        <w:t>un séjour d’études</w:t>
      </w:r>
      <w:r>
        <w:t xml:space="preserve"> </w:t>
      </w:r>
      <w:r w:rsidRPr="3456FB5F">
        <w:rPr>
          <w:b/>
          <w:bCs/>
        </w:rPr>
        <w:t>ou stage</w:t>
      </w:r>
      <w:r>
        <w:t xml:space="preserve"> </w:t>
      </w:r>
      <w:r w:rsidRPr="3456FB5F">
        <w:rPr>
          <w:b/>
          <w:bCs/>
        </w:rPr>
        <w:t>en France dans le cadre d’un Master 1 ou 2 ou d’un diplôme d’ingénieur</w:t>
      </w:r>
      <w:r>
        <w:t>.</w:t>
      </w:r>
    </w:p>
    <w:p w14:paraId="02EB378F" w14:textId="77777777" w:rsidR="006B6879" w:rsidRDefault="006B6879" w:rsidP="000E0752">
      <w:pPr>
        <w:pStyle w:val="NormalWeb"/>
        <w:spacing w:before="0" w:beforeAutospacing="0" w:after="0"/>
        <w:jc w:val="both"/>
      </w:pPr>
    </w:p>
    <w:p w14:paraId="626C5F2C" w14:textId="0A13C6CF" w:rsidR="00BE04D4" w:rsidRPr="00426DF5" w:rsidRDefault="3456FB5F" w:rsidP="3456FB5F">
      <w:pPr>
        <w:pStyle w:val="NormalWeb"/>
        <w:spacing w:before="0" w:beforeAutospacing="0" w:after="0"/>
        <w:jc w:val="both"/>
      </w:pPr>
      <w:r>
        <w:t>Ce programme vise à</w:t>
      </w:r>
      <w:r w:rsidRPr="3456FB5F">
        <w:rPr>
          <w:b/>
          <w:bCs/>
        </w:rPr>
        <w:t xml:space="preserve"> renforcer les partenariats universitaires franco-libanais </w:t>
      </w:r>
      <w:r>
        <w:t xml:space="preserve">en facilitant la </w:t>
      </w:r>
      <w:r w:rsidRPr="3456FB5F">
        <w:rPr>
          <w:b/>
          <w:bCs/>
        </w:rPr>
        <w:t>mobilité d’étudiants méritants</w:t>
      </w:r>
      <w:r>
        <w:t>. Il a pour principal objectif d’attirer vers les doubles diplômes/co-diplômes franco-libanais ou vers des Masters 2 en France d’excellents étudiants.</w:t>
      </w:r>
    </w:p>
    <w:p w14:paraId="6A05A809" w14:textId="77777777" w:rsidR="00353D04" w:rsidRDefault="00353D04" w:rsidP="3456FB5F">
      <w:pPr>
        <w:pStyle w:val="NormalWeb"/>
        <w:spacing w:before="0" w:beforeAutospacing="0" w:after="0"/>
        <w:jc w:val="both"/>
      </w:pPr>
    </w:p>
    <w:p w14:paraId="655B2885" w14:textId="47B01907" w:rsidR="3456FB5F" w:rsidRPr="00E40167" w:rsidRDefault="3456FB5F" w:rsidP="3456FB5F">
      <w:pPr>
        <w:pStyle w:val="NormalWeb"/>
        <w:spacing w:before="0" w:beforeAutospacing="0" w:after="0"/>
        <w:jc w:val="both"/>
        <w:rPr>
          <w:color w:val="000000" w:themeColor="text1"/>
        </w:rPr>
      </w:pPr>
      <w:r w:rsidRPr="00E40167">
        <w:rPr>
          <w:color w:val="000000" w:themeColor="text1"/>
        </w:rPr>
        <w:t xml:space="preserve">A qualité de candidature égale, la situation socio-économique des candidats pourra être prise en compte dans la sélection finale sur avis de l’établissement d’origine. </w:t>
      </w:r>
    </w:p>
    <w:p w14:paraId="0D35C905" w14:textId="18BFC827" w:rsidR="3456FB5F" w:rsidRDefault="3456FB5F" w:rsidP="3456FB5F">
      <w:pPr>
        <w:pStyle w:val="NormalWeb"/>
        <w:spacing w:before="0" w:beforeAutospacing="0" w:after="0"/>
        <w:jc w:val="both"/>
        <w:rPr>
          <w:color w:val="000000" w:themeColor="text1"/>
          <w:highlight w:val="yellow"/>
        </w:rPr>
      </w:pPr>
    </w:p>
    <w:p w14:paraId="7E41FFC5" w14:textId="77777777" w:rsidR="00A112AF" w:rsidRDefault="003476F7" w:rsidP="000E0752">
      <w:pPr>
        <w:pStyle w:val="NormalWeb"/>
        <w:spacing w:before="0" w:beforeAutospacing="0" w:after="0"/>
        <w:jc w:val="both"/>
      </w:pPr>
      <w:r>
        <w:t>La procédure de sélection est</w:t>
      </w:r>
      <w:r w:rsidR="00A112AF">
        <w:t xml:space="preserve"> conduite en partenariat avec les établissements libanais </w:t>
      </w:r>
      <w:r w:rsidR="00353D04">
        <w:t>partenaires</w:t>
      </w:r>
      <w:r w:rsidR="00A112AF">
        <w:t>.</w:t>
      </w:r>
    </w:p>
    <w:p w14:paraId="41C8F396" w14:textId="77777777" w:rsidR="00A112AF" w:rsidRDefault="00A112AF" w:rsidP="000E0752">
      <w:pPr>
        <w:pStyle w:val="NormalWeb"/>
        <w:spacing w:before="0" w:beforeAutospacing="0" w:after="0"/>
        <w:jc w:val="both"/>
      </w:pPr>
    </w:p>
    <w:p w14:paraId="3BFBEC9D" w14:textId="77777777" w:rsidR="00A112AF" w:rsidRDefault="00A112AF" w:rsidP="00A112AF">
      <w:pPr>
        <w:pStyle w:val="NormalWeb"/>
        <w:spacing w:before="0" w:beforeAutospacing="0" w:after="0"/>
        <w:jc w:val="both"/>
      </w:pPr>
      <w:r>
        <w:t>L’ensemble des boursiers bénéficiera du statut de Boursier du Gouvernement Français.</w:t>
      </w:r>
    </w:p>
    <w:p w14:paraId="72A3D3EC" w14:textId="77777777" w:rsidR="00A112AF" w:rsidRDefault="00A112AF" w:rsidP="3456FB5F">
      <w:pPr>
        <w:pStyle w:val="NormalWeb"/>
        <w:spacing w:before="0" w:beforeAutospacing="0" w:after="0"/>
        <w:jc w:val="both"/>
      </w:pPr>
    </w:p>
    <w:p w14:paraId="40017109" w14:textId="6CF9A54F" w:rsidR="3456FB5F" w:rsidRDefault="3456FB5F" w:rsidP="3456FB5F">
      <w:pPr>
        <w:pStyle w:val="NormalWeb"/>
        <w:spacing w:before="0" w:beforeAutospacing="0" w:after="0"/>
        <w:jc w:val="both"/>
        <w:rPr>
          <w:color w:val="000000" w:themeColor="text1"/>
        </w:rPr>
      </w:pPr>
    </w:p>
    <w:p w14:paraId="2A185D01" w14:textId="77777777" w:rsidR="00124DB1" w:rsidRDefault="00124DB1" w:rsidP="3456FB5F">
      <w:pPr>
        <w:pStyle w:val="NormalWeb"/>
        <w:spacing w:before="0" w:beforeAutospacing="0" w:after="0"/>
        <w:jc w:val="both"/>
        <w:rPr>
          <w:color w:val="000000" w:themeColor="text1"/>
        </w:rPr>
      </w:pPr>
    </w:p>
    <w:p w14:paraId="03B4AC6F" w14:textId="77777777" w:rsidR="00124DB1" w:rsidRDefault="00124DB1" w:rsidP="3456FB5F">
      <w:pPr>
        <w:pStyle w:val="NormalWeb"/>
        <w:spacing w:before="0" w:beforeAutospacing="0" w:after="0"/>
        <w:jc w:val="both"/>
        <w:rPr>
          <w:color w:val="000000" w:themeColor="text1"/>
        </w:rPr>
      </w:pPr>
    </w:p>
    <w:p w14:paraId="4547D339" w14:textId="77777777" w:rsidR="00124DB1" w:rsidRDefault="00124DB1" w:rsidP="3456FB5F">
      <w:pPr>
        <w:pStyle w:val="NormalWeb"/>
        <w:spacing w:before="0" w:beforeAutospacing="0" w:after="0"/>
        <w:jc w:val="both"/>
        <w:rPr>
          <w:color w:val="000000" w:themeColor="text1"/>
        </w:rPr>
      </w:pPr>
    </w:p>
    <w:p w14:paraId="6F7F14AF" w14:textId="77777777" w:rsidR="00124DB1" w:rsidRDefault="00124DB1" w:rsidP="3456FB5F">
      <w:pPr>
        <w:pStyle w:val="NormalWeb"/>
        <w:spacing w:before="0" w:beforeAutospacing="0" w:after="0"/>
        <w:jc w:val="both"/>
        <w:rPr>
          <w:color w:val="000000" w:themeColor="text1"/>
        </w:rPr>
      </w:pPr>
    </w:p>
    <w:p w14:paraId="21DBB579" w14:textId="0AE9CA50" w:rsidR="3456FB5F" w:rsidRDefault="3456FB5F" w:rsidP="3456FB5F">
      <w:pPr>
        <w:pStyle w:val="NormalWeb"/>
        <w:spacing w:before="0" w:beforeAutospacing="0" w:after="0"/>
        <w:jc w:val="both"/>
        <w:rPr>
          <w:color w:val="000000" w:themeColor="text1"/>
        </w:rPr>
      </w:pPr>
    </w:p>
    <w:p w14:paraId="3319AA7B" w14:textId="1046ADEC" w:rsidR="3456FB5F" w:rsidRDefault="3456FB5F" w:rsidP="3456FB5F">
      <w:pPr>
        <w:pStyle w:val="NormalWeb"/>
        <w:spacing w:before="0" w:beforeAutospacing="0" w:after="0"/>
        <w:jc w:val="both"/>
        <w:rPr>
          <w:color w:val="000000" w:themeColor="text1"/>
        </w:rPr>
      </w:pPr>
    </w:p>
    <w:p w14:paraId="17A5547D" w14:textId="01C97B1E" w:rsidR="3456FB5F" w:rsidRDefault="3456FB5F" w:rsidP="3456FB5F">
      <w:pPr>
        <w:pStyle w:val="NormalWeb"/>
        <w:spacing w:before="0" w:beforeAutospacing="0" w:after="0"/>
        <w:jc w:val="both"/>
        <w:rPr>
          <w:color w:val="000000" w:themeColor="text1"/>
        </w:rPr>
      </w:pPr>
    </w:p>
    <w:p w14:paraId="6F0D91CD" w14:textId="70D13A3E" w:rsidR="3456FB5F" w:rsidRDefault="3456FB5F" w:rsidP="3456FB5F">
      <w:pPr>
        <w:pStyle w:val="NormalWeb"/>
        <w:spacing w:before="0" w:beforeAutospacing="0" w:after="0"/>
        <w:jc w:val="both"/>
        <w:rPr>
          <w:color w:val="000000" w:themeColor="text1"/>
        </w:rPr>
      </w:pPr>
    </w:p>
    <w:p w14:paraId="0E27B00A" w14:textId="77777777" w:rsidR="00370818" w:rsidRDefault="00370818" w:rsidP="000E0752">
      <w:pPr>
        <w:pStyle w:val="NormalWeb"/>
        <w:spacing w:before="0" w:beforeAutospacing="0" w:after="0"/>
        <w:jc w:val="both"/>
      </w:pPr>
    </w:p>
    <w:p w14:paraId="60061E4C" w14:textId="77777777" w:rsidR="00370818" w:rsidRDefault="00370818" w:rsidP="000E0752">
      <w:pPr>
        <w:pStyle w:val="NormalWeb"/>
        <w:spacing w:before="0" w:beforeAutospacing="0" w:after="0"/>
        <w:jc w:val="both"/>
      </w:pPr>
    </w:p>
    <w:p w14:paraId="44EAFD9C" w14:textId="77777777" w:rsidR="00641214" w:rsidRDefault="00641214" w:rsidP="00370818">
      <w:pPr>
        <w:pBdr>
          <w:top w:val="single" w:sz="4" w:space="1" w:color="auto"/>
          <w:left w:val="single" w:sz="4" w:space="4" w:color="auto"/>
          <w:bottom w:val="single" w:sz="4" w:space="1" w:color="auto"/>
          <w:right w:val="single" w:sz="4" w:space="4" w:color="auto"/>
        </w:pBdr>
        <w:tabs>
          <w:tab w:val="left" w:pos="2220"/>
        </w:tabs>
        <w:spacing w:after="0" w:line="240" w:lineRule="auto"/>
        <w:jc w:val="both"/>
        <w:rPr>
          <w:rFonts w:ascii="Times New Roman" w:hAnsi="Times New Roman" w:cs="Times New Roman"/>
          <w:sz w:val="20"/>
          <w:szCs w:val="20"/>
          <w:u w:val="single"/>
        </w:rPr>
      </w:pPr>
    </w:p>
    <w:p w14:paraId="52B2B0B1" w14:textId="77777777" w:rsidR="00641214" w:rsidRPr="00D91761" w:rsidRDefault="00641214" w:rsidP="00641214">
      <w:pPr>
        <w:pBdr>
          <w:top w:val="single" w:sz="4" w:space="1" w:color="auto"/>
          <w:left w:val="single" w:sz="4" w:space="4" w:color="auto"/>
          <w:bottom w:val="single" w:sz="4" w:space="1" w:color="auto"/>
          <w:right w:val="single" w:sz="4" w:space="4" w:color="auto"/>
        </w:pBdr>
        <w:tabs>
          <w:tab w:val="left" w:pos="2220"/>
        </w:tabs>
        <w:spacing w:after="0" w:line="240" w:lineRule="auto"/>
        <w:jc w:val="center"/>
        <w:rPr>
          <w:rFonts w:ascii="Times New Roman" w:hAnsi="Times New Roman" w:cs="Times New Roman"/>
          <w:b/>
          <w:sz w:val="20"/>
          <w:szCs w:val="20"/>
        </w:rPr>
      </w:pPr>
      <w:r w:rsidRPr="00D91761">
        <w:rPr>
          <w:rFonts w:ascii="Times New Roman" w:hAnsi="Times New Roman" w:cs="Times New Roman"/>
          <w:b/>
          <w:sz w:val="20"/>
          <w:szCs w:val="20"/>
          <w:u w:val="single"/>
        </w:rPr>
        <w:t>Point de contact à l’Ambassade</w:t>
      </w:r>
    </w:p>
    <w:p w14:paraId="0BAE9958" w14:textId="77777777" w:rsidR="00641214" w:rsidRDefault="00E87790" w:rsidP="00641214">
      <w:pPr>
        <w:pBdr>
          <w:top w:val="single" w:sz="4" w:space="1" w:color="auto"/>
          <w:left w:val="single" w:sz="4" w:space="4" w:color="auto"/>
          <w:bottom w:val="single" w:sz="4" w:space="1" w:color="auto"/>
          <w:right w:val="single" w:sz="4" w:space="4" w:color="auto"/>
        </w:pBdr>
        <w:tabs>
          <w:tab w:val="left" w:pos="2220"/>
        </w:tabs>
        <w:spacing w:after="0" w:line="240" w:lineRule="auto"/>
        <w:jc w:val="center"/>
        <w:rPr>
          <w:rFonts w:ascii="Times New Roman" w:eastAsia="Times New Roman" w:hAnsi="Times New Roman" w:cs="Times New Roman"/>
          <w:color w:val="000000"/>
          <w:sz w:val="20"/>
          <w:szCs w:val="20"/>
          <w:lang w:eastAsia="fr-FR"/>
        </w:rPr>
      </w:pPr>
      <w:r>
        <w:rPr>
          <w:rFonts w:ascii="Times New Roman" w:hAnsi="Times New Roman" w:cs="Times New Roman"/>
          <w:sz w:val="20"/>
          <w:szCs w:val="20"/>
        </w:rPr>
        <w:t>Alissa Viguier</w:t>
      </w:r>
      <w:r w:rsidR="00641214">
        <w:rPr>
          <w:rFonts w:ascii="Times New Roman" w:hAnsi="Times New Roman" w:cs="Times New Roman"/>
          <w:sz w:val="20"/>
          <w:szCs w:val="20"/>
        </w:rPr>
        <w:t xml:space="preserve"> – Chargé</w:t>
      </w:r>
      <w:r>
        <w:rPr>
          <w:rFonts w:ascii="Times New Roman" w:hAnsi="Times New Roman" w:cs="Times New Roman"/>
          <w:sz w:val="20"/>
          <w:szCs w:val="20"/>
        </w:rPr>
        <w:t>e</w:t>
      </w:r>
      <w:r w:rsidR="00641214">
        <w:rPr>
          <w:rFonts w:ascii="Times New Roman" w:hAnsi="Times New Roman" w:cs="Times New Roman"/>
          <w:sz w:val="20"/>
          <w:szCs w:val="20"/>
        </w:rPr>
        <w:t xml:space="preserve"> de mission pour la coopération universitaire et scientifique</w:t>
      </w:r>
    </w:p>
    <w:p w14:paraId="4C634A21" w14:textId="77777777" w:rsidR="00370818" w:rsidRDefault="00316A9E" w:rsidP="00641214">
      <w:pPr>
        <w:pBdr>
          <w:top w:val="single" w:sz="4" w:space="1" w:color="auto"/>
          <w:left w:val="single" w:sz="4" w:space="4" w:color="auto"/>
          <w:bottom w:val="single" w:sz="4" w:space="1" w:color="auto"/>
          <w:right w:val="single" w:sz="4" w:space="4" w:color="auto"/>
        </w:pBdr>
        <w:tabs>
          <w:tab w:val="left" w:pos="2220"/>
        </w:tabs>
        <w:spacing w:after="0" w:line="240" w:lineRule="auto"/>
        <w:jc w:val="center"/>
        <w:rPr>
          <w:rStyle w:val="Hyperlink"/>
          <w:rFonts w:ascii="Times New Roman" w:hAnsi="Times New Roman" w:cs="Times New Roman"/>
          <w:sz w:val="20"/>
          <w:szCs w:val="20"/>
        </w:rPr>
      </w:pPr>
      <w:r>
        <w:rPr>
          <w:rStyle w:val="Hyperlink"/>
          <w:rFonts w:ascii="Times New Roman" w:hAnsi="Times New Roman" w:cs="Times New Roman"/>
          <w:sz w:val="20"/>
          <w:szCs w:val="20"/>
        </w:rPr>
        <w:t>a</w:t>
      </w:r>
      <w:r w:rsidR="00E87790">
        <w:rPr>
          <w:rStyle w:val="Hyperlink"/>
          <w:rFonts w:ascii="Times New Roman" w:hAnsi="Times New Roman" w:cs="Times New Roman"/>
          <w:sz w:val="20"/>
          <w:szCs w:val="20"/>
        </w:rPr>
        <w:t>lissa.viguier@diplomatie.gouv.fr</w:t>
      </w:r>
    </w:p>
    <w:p w14:paraId="4B94D5A5" w14:textId="77777777" w:rsidR="00D91761" w:rsidRDefault="00D91761" w:rsidP="00641214">
      <w:pPr>
        <w:pBdr>
          <w:top w:val="single" w:sz="4" w:space="1" w:color="auto"/>
          <w:left w:val="single" w:sz="4" w:space="4" w:color="auto"/>
          <w:bottom w:val="single" w:sz="4" w:space="1" w:color="auto"/>
          <w:right w:val="single" w:sz="4" w:space="4" w:color="auto"/>
        </w:pBdr>
        <w:tabs>
          <w:tab w:val="left" w:pos="2220"/>
        </w:tabs>
        <w:spacing w:after="0" w:line="240" w:lineRule="auto"/>
        <w:jc w:val="center"/>
        <w:rPr>
          <w:rStyle w:val="Hyperlink"/>
          <w:rFonts w:ascii="Times New Roman" w:hAnsi="Times New Roman" w:cs="Times New Roman"/>
          <w:sz w:val="20"/>
          <w:szCs w:val="20"/>
        </w:rPr>
      </w:pPr>
    </w:p>
    <w:p w14:paraId="31F64FFB" w14:textId="77777777" w:rsidR="00D91761" w:rsidRPr="00D91761" w:rsidRDefault="00D91761" w:rsidP="00641214">
      <w:pPr>
        <w:pBdr>
          <w:top w:val="single" w:sz="4" w:space="1" w:color="auto"/>
          <w:left w:val="single" w:sz="4" w:space="4" w:color="auto"/>
          <w:bottom w:val="single" w:sz="4" w:space="1" w:color="auto"/>
          <w:right w:val="single" w:sz="4" w:space="4" w:color="auto"/>
        </w:pBdr>
        <w:tabs>
          <w:tab w:val="left" w:pos="2220"/>
        </w:tabs>
        <w:spacing w:after="0" w:line="240" w:lineRule="auto"/>
        <w:jc w:val="center"/>
        <w:rPr>
          <w:rStyle w:val="Hyperlink"/>
          <w:rFonts w:ascii="Times New Roman" w:hAnsi="Times New Roman" w:cs="Times New Roman"/>
          <w:b/>
          <w:color w:val="auto"/>
          <w:sz w:val="20"/>
          <w:szCs w:val="20"/>
        </w:rPr>
      </w:pPr>
      <w:r w:rsidRPr="00D91761">
        <w:rPr>
          <w:rStyle w:val="Hyperlink"/>
          <w:rFonts w:ascii="Times New Roman" w:hAnsi="Times New Roman" w:cs="Times New Roman"/>
          <w:b/>
          <w:color w:val="auto"/>
          <w:sz w:val="20"/>
          <w:szCs w:val="20"/>
        </w:rPr>
        <w:t>Candidatures à adresser à :</w:t>
      </w:r>
    </w:p>
    <w:p w14:paraId="451B8AC7" w14:textId="77777777" w:rsidR="00D91761" w:rsidRPr="00D91761" w:rsidRDefault="00B86A71" w:rsidP="00641214">
      <w:pPr>
        <w:pBdr>
          <w:top w:val="single" w:sz="4" w:space="1" w:color="auto"/>
          <w:left w:val="single" w:sz="4" w:space="4" w:color="auto"/>
          <w:bottom w:val="single" w:sz="4" w:space="1" w:color="auto"/>
          <w:right w:val="single" w:sz="4" w:space="4" w:color="auto"/>
        </w:pBdr>
        <w:tabs>
          <w:tab w:val="left" w:pos="2220"/>
        </w:tabs>
        <w:spacing w:after="0" w:line="240" w:lineRule="auto"/>
        <w:jc w:val="center"/>
        <w:rPr>
          <w:rFonts w:ascii="Times New Roman" w:hAnsi="Times New Roman" w:cs="Times New Roman"/>
          <w:sz w:val="20"/>
          <w:szCs w:val="20"/>
        </w:rPr>
      </w:pPr>
      <w:hyperlink r:id="rId9" w:history="1">
        <w:r w:rsidR="00D91761" w:rsidRPr="00D91761">
          <w:rPr>
            <w:rStyle w:val="Hyperlink"/>
            <w:rFonts w:ascii="Times New Roman" w:hAnsi="Times New Roman" w:cs="Times New Roman"/>
            <w:sz w:val="20"/>
            <w:szCs w:val="20"/>
          </w:rPr>
          <w:t>bourse-recherche.beyrouth-amba@diplomatie.gouv.fr</w:t>
        </w:r>
      </w:hyperlink>
    </w:p>
    <w:p w14:paraId="3DEEC669" w14:textId="77777777" w:rsidR="00641214" w:rsidRPr="00370818" w:rsidRDefault="00641214" w:rsidP="00370818">
      <w:pPr>
        <w:pBdr>
          <w:top w:val="single" w:sz="4" w:space="1" w:color="auto"/>
          <w:left w:val="single" w:sz="4" w:space="4" w:color="auto"/>
          <w:bottom w:val="single" w:sz="4" w:space="1" w:color="auto"/>
          <w:right w:val="single" w:sz="4" w:space="4" w:color="auto"/>
        </w:pBdr>
        <w:tabs>
          <w:tab w:val="left" w:pos="2220"/>
        </w:tabs>
        <w:spacing w:after="0" w:line="240" w:lineRule="auto"/>
        <w:jc w:val="both"/>
        <w:rPr>
          <w:rFonts w:ascii="Times New Roman" w:eastAsia="Times New Roman" w:hAnsi="Times New Roman" w:cs="Times New Roman"/>
          <w:color w:val="000000"/>
          <w:sz w:val="20"/>
          <w:szCs w:val="20"/>
          <w:lang w:eastAsia="fr-FR"/>
        </w:rPr>
      </w:pPr>
    </w:p>
    <w:p w14:paraId="3656B9AB" w14:textId="77777777" w:rsidR="00370818" w:rsidRDefault="00370818" w:rsidP="00370818">
      <w:pPr>
        <w:spacing w:after="0" w:line="240" w:lineRule="auto"/>
        <w:jc w:val="both"/>
        <w:rPr>
          <w:rFonts w:ascii="Times New Roman" w:eastAsia="Times New Roman" w:hAnsi="Times New Roman" w:cs="Times New Roman"/>
          <w:b/>
          <w:bCs/>
          <w:color w:val="000000"/>
          <w:sz w:val="24"/>
          <w:szCs w:val="24"/>
          <w:u w:val="single"/>
          <w:lang w:eastAsia="fr-FR"/>
        </w:rPr>
      </w:pPr>
    </w:p>
    <w:p w14:paraId="7AD14D54" w14:textId="77777777" w:rsidR="00370818" w:rsidRPr="002740E0" w:rsidRDefault="00370818" w:rsidP="00370818">
      <w:pPr>
        <w:spacing w:after="0" w:line="240" w:lineRule="auto"/>
        <w:jc w:val="both"/>
        <w:outlineLvl w:val="2"/>
        <w:rPr>
          <w:rFonts w:ascii="Times New Roman" w:eastAsia="Times New Roman" w:hAnsi="Times New Roman" w:cs="Times New Roman"/>
          <w:bCs/>
          <w:i/>
          <w:color w:val="000000"/>
          <w:sz w:val="20"/>
          <w:szCs w:val="20"/>
          <w:u w:val="single"/>
          <w:lang w:eastAsia="fr-FR"/>
        </w:rPr>
      </w:pPr>
      <w:r w:rsidRPr="002740E0">
        <w:rPr>
          <w:rFonts w:ascii="Times New Roman" w:eastAsia="Times New Roman" w:hAnsi="Times New Roman" w:cs="Times New Roman"/>
          <w:bCs/>
          <w:i/>
          <w:color w:val="000000"/>
          <w:sz w:val="20"/>
          <w:szCs w:val="20"/>
          <w:u w:val="single"/>
          <w:lang w:eastAsia="fr-FR"/>
        </w:rPr>
        <w:t>Traitement des données</w:t>
      </w:r>
    </w:p>
    <w:p w14:paraId="4C04F989" w14:textId="77777777" w:rsidR="00370818" w:rsidRPr="002740E0" w:rsidRDefault="00353D04" w:rsidP="00370818">
      <w:pPr>
        <w:spacing w:after="0" w:line="240" w:lineRule="auto"/>
        <w:jc w:val="both"/>
        <w:rPr>
          <w:rFonts w:ascii="Times New Roman" w:eastAsia="Times New Roman" w:hAnsi="Times New Roman" w:cs="Times New Roman"/>
          <w:i/>
          <w:color w:val="000000"/>
          <w:sz w:val="20"/>
          <w:szCs w:val="20"/>
          <w:lang w:eastAsia="fr-FR"/>
        </w:rPr>
      </w:pPr>
      <w:r>
        <w:rPr>
          <w:rFonts w:ascii="Times New Roman" w:eastAsia="Times New Roman" w:hAnsi="Times New Roman" w:cs="Times New Roman"/>
          <w:i/>
          <w:color w:val="000000"/>
          <w:sz w:val="20"/>
          <w:szCs w:val="20"/>
          <w:lang w:eastAsia="fr-FR"/>
        </w:rPr>
        <w:t>Sauf objection du candidat</w:t>
      </w:r>
      <w:r w:rsidR="00370818" w:rsidRPr="002740E0">
        <w:rPr>
          <w:rFonts w:ascii="Times New Roman" w:eastAsia="Times New Roman" w:hAnsi="Times New Roman" w:cs="Times New Roman"/>
          <w:i/>
          <w:color w:val="000000"/>
          <w:sz w:val="20"/>
          <w:szCs w:val="20"/>
          <w:lang w:eastAsia="fr-FR"/>
        </w:rPr>
        <w:t xml:space="preserve">, l'Ambassade de France se réserve le droit de publier sur son site internet le nom, prénom, établissement d'origine et d'accueil et projet des candidats retenus pour une bourse. </w:t>
      </w:r>
    </w:p>
    <w:p w14:paraId="1299C43A" w14:textId="77777777" w:rsidR="00316A9E" w:rsidRDefault="00316A9E" w:rsidP="000E0752">
      <w:pPr>
        <w:pStyle w:val="NormalWeb"/>
        <w:spacing w:before="0" w:beforeAutospacing="0" w:after="0"/>
        <w:jc w:val="both"/>
        <w:rPr>
          <w:b/>
          <w:u w:val="single"/>
        </w:rPr>
      </w:pPr>
    </w:p>
    <w:p w14:paraId="19A302EB" w14:textId="77777777" w:rsidR="009A03CC" w:rsidRPr="00041530" w:rsidRDefault="00672C18" w:rsidP="00041530">
      <w:pPr>
        <w:pStyle w:val="NormalWeb"/>
        <w:numPr>
          <w:ilvl w:val="1"/>
          <w:numId w:val="24"/>
        </w:numPr>
        <w:pBdr>
          <w:bottom w:val="single" w:sz="4" w:space="1" w:color="auto"/>
        </w:pBdr>
        <w:spacing w:before="0" w:beforeAutospacing="0" w:after="0"/>
        <w:jc w:val="both"/>
        <w:rPr>
          <w:b/>
        </w:rPr>
      </w:pPr>
      <w:r w:rsidRPr="00041530">
        <w:rPr>
          <w:b/>
        </w:rPr>
        <w:lastRenderedPageBreak/>
        <w:t>Bénéficiaires </w:t>
      </w:r>
    </w:p>
    <w:p w14:paraId="4DDBEF00" w14:textId="77777777" w:rsidR="00BE04D4" w:rsidRDefault="00BE04D4" w:rsidP="000E0752">
      <w:pPr>
        <w:pStyle w:val="NormalWeb"/>
        <w:spacing w:before="0" w:beforeAutospacing="0" w:after="0"/>
        <w:jc w:val="both"/>
      </w:pPr>
    </w:p>
    <w:p w14:paraId="5047A93A" w14:textId="06271E51" w:rsidR="00BE04D4" w:rsidRDefault="1E8C75C7" w:rsidP="3456FB5F">
      <w:pPr>
        <w:pStyle w:val="NormalWeb"/>
        <w:numPr>
          <w:ilvl w:val="0"/>
          <w:numId w:val="27"/>
        </w:numPr>
        <w:spacing w:before="0" w:beforeAutospacing="0" w:after="0"/>
        <w:jc w:val="both"/>
      </w:pPr>
      <w:r w:rsidRPr="1E8C75C7">
        <w:rPr>
          <w:b/>
          <w:bCs/>
          <w:i/>
          <w:iCs/>
          <w:u w:val="single"/>
        </w:rPr>
        <w:t>Cas n°1</w:t>
      </w:r>
      <w:r w:rsidRPr="1E8C75C7">
        <w:rPr>
          <w:b/>
          <w:bCs/>
        </w:rPr>
        <w:t> </w:t>
      </w:r>
      <w:r w:rsidRPr="1E8C75C7">
        <w:rPr>
          <w:b/>
          <w:bCs/>
          <w:i/>
          <w:iCs/>
        </w:rPr>
        <w:t>:</w:t>
      </w:r>
      <w:r>
        <w:t xml:space="preserve"> étudiants inscrits dans un Master 1 ou 2 ou en école d’ingénieur au Liban, souhaitant effectuer un semestre d’études ou un stage d’études en France en 2022 (maximum 6 mois) dans le cadre d’un double diplôme/co-diplôme ou d’un partenariat universitaire.</w:t>
      </w:r>
    </w:p>
    <w:p w14:paraId="3461D779" w14:textId="77777777" w:rsidR="00AF02D6" w:rsidRDefault="00AF02D6" w:rsidP="00AF02D6">
      <w:pPr>
        <w:pStyle w:val="NormalWeb"/>
        <w:spacing w:before="0" w:beforeAutospacing="0" w:after="0"/>
        <w:jc w:val="both"/>
      </w:pPr>
    </w:p>
    <w:p w14:paraId="3CF2D8B6" w14:textId="5E133813" w:rsidR="00B15939" w:rsidRDefault="1E8C75C7" w:rsidP="3456FB5F">
      <w:pPr>
        <w:pStyle w:val="NormalWeb"/>
        <w:numPr>
          <w:ilvl w:val="0"/>
          <w:numId w:val="27"/>
        </w:numPr>
        <w:spacing w:before="0" w:beforeAutospacing="0" w:after="0"/>
        <w:jc w:val="both"/>
      </w:pPr>
      <w:r w:rsidRPr="1E8C75C7">
        <w:rPr>
          <w:b/>
          <w:bCs/>
          <w:i/>
          <w:iCs/>
          <w:u w:val="single"/>
        </w:rPr>
        <w:t>Cas n°2</w:t>
      </w:r>
      <w:r w:rsidRPr="1E8C75C7">
        <w:rPr>
          <w:b/>
          <w:bCs/>
          <w:i/>
          <w:iCs/>
        </w:rPr>
        <w:t> :</w:t>
      </w:r>
      <w:r w:rsidRPr="1E8C75C7">
        <w:rPr>
          <w:b/>
          <w:bCs/>
        </w:rPr>
        <w:t xml:space="preserve"> </w:t>
      </w:r>
      <w:r>
        <w:t>étudiants inscrits en Master 1 ou en école d’ingénieur au Liban et candidats à un Master 2 en France (année universitaire 2022/2023) dans le cadre d’un double diplôme/co-diplôme ou d’un partenariat universitaire ou encore dans la perspective d’une éventuelle thèse en cotutelle. Les candidats choisissant un Master 2 qui n’existe pas au Liban seront privilégiés.</w:t>
      </w:r>
    </w:p>
    <w:p w14:paraId="0FB78278" w14:textId="77777777" w:rsidR="00812A17" w:rsidRDefault="00812A17" w:rsidP="00812A17">
      <w:pPr>
        <w:pStyle w:val="NormalWeb"/>
        <w:spacing w:before="0" w:beforeAutospacing="0" w:after="0"/>
        <w:jc w:val="both"/>
      </w:pPr>
    </w:p>
    <w:p w14:paraId="1BA13502" w14:textId="157EFF1C" w:rsidR="00FD7729" w:rsidRDefault="3456FB5F" w:rsidP="3456FB5F">
      <w:pPr>
        <w:pStyle w:val="NormalWeb"/>
        <w:spacing w:before="0" w:beforeAutospacing="0" w:after="0"/>
        <w:jc w:val="both"/>
      </w:pPr>
      <w:r>
        <w:t xml:space="preserve">Pour chaque cas, </w:t>
      </w:r>
      <w:r w:rsidRPr="3456FB5F">
        <w:rPr>
          <w:b/>
          <w:bCs/>
        </w:rPr>
        <w:t>l’inscription dans un établissement d’enseignement supérieur en France est obligatoire pour obtenir la bourse</w:t>
      </w:r>
      <w:r>
        <w:t>. Toute prolongation éventuelle de la bourse supplémentaire sera soumise à l'avis et à l'approbation préalable des deux partenaires universitaires et de l’Ambassade.</w:t>
      </w:r>
    </w:p>
    <w:p w14:paraId="1FC39945" w14:textId="77777777" w:rsidR="00FD7729" w:rsidRDefault="00FD7729" w:rsidP="00812A17">
      <w:pPr>
        <w:pStyle w:val="NormalWeb"/>
        <w:spacing w:before="0" w:beforeAutospacing="0" w:after="0"/>
        <w:jc w:val="both"/>
      </w:pPr>
    </w:p>
    <w:p w14:paraId="3EEBB056" w14:textId="77777777" w:rsidR="00745859" w:rsidRDefault="00812A17" w:rsidP="00812A17">
      <w:pPr>
        <w:pStyle w:val="NormalWeb"/>
        <w:spacing w:before="0" w:beforeAutospacing="0" w:after="0"/>
        <w:jc w:val="both"/>
      </w:pPr>
      <w:r>
        <w:t>Toutes les disciplines s</w:t>
      </w:r>
      <w:r w:rsidR="00BF3D37">
        <w:t xml:space="preserve">ont </w:t>
      </w:r>
      <w:r w:rsidR="00AF02D6">
        <w:t>concernées.</w:t>
      </w:r>
      <w:r w:rsidR="00745859">
        <w:t xml:space="preserve"> Les formations en anglais sont éligibles.</w:t>
      </w:r>
    </w:p>
    <w:p w14:paraId="49F26DD7" w14:textId="77777777" w:rsidR="000D3DAF" w:rsidRDefault="000D3DAF" w:rsidP="00812A17">
      <w:pPr>
        <w:pStyle w:val="NormalWeb"/>
        <w:spacing w:before="0" w:beforeAutospacing="0" w:after="0"/>
        <w:jc w:val="both"/>
      </w:pPr>
      <w:r>
        <w:t>Pour les stages, ils doivent se dérouler dans un organisme rattaché à un établissement d’enseignement supérieur</w:t>
      </w:r>
      <w:r w:rsidR="00EE4C91">
        <w:t xml:space="preserve"> français</w:t>
      </w:r>
      <w:r>
        <w:t>.</w:t>
      </w:r>
    </w:p>
    <w:p w14:paraId="0562CB0E" w14:textId="77777777" w:rsidR="00FD7729" w:rsidRDefault="00FD7729" w:rsidP="00812A17">
      <w:pPr>
        <w:pStyle w:val="NormalWeb"/>
        <w:spacing w:before="0" w:beforeAutospacing="0" w:after="0"/>
        <w:jc w:val="both"/>
      </w:pPr>
    </w:p>
    <w:p w14:paraId="34CE0A41" w14:textId="77777777" w:rsidR="00FC3BDA" w:rsidRDefault="00FC3BDA" w:rsidP="000E0752">
      <w:pPr>
        <w:pStyle w:val="NormalWeb"/>
        <w:spacing w:before="0" w:beforeAutospacing="0" w:after="0"/>
        <w:jc w:val="both"/>
      </w:pPr>
    </w:p>
    <w:p w14:paraId="790DFE65" w14:textId="77777777" w:rsidR="00DD06DA" w:rsidRPr="0076685C" w:rsidRDefault="00672C18" w:rsidP="0076685C">
      <w:pPr>
        <w:pStyle w:val="NormalWeb"/>
        <w:numPr>
          <w:ilvl w:val="1"/>
          <w:numId w:val="24"/>
        </w:numPr>
        <w:pBdr>
          <w:bottom w:val="single" w:sz="4" w:space="1" w:color="auto"/>
        </w:pBdr>
        <w:spacing w:before="0" w:beforeAutospacing="0" w:after="0"/>
        <w:jc w:val="both"/>
        <w:rPr>
          <w:b/>
        </w:rPr>
      </w:pPr>
      <w:r w:rsidRPr="0076685C">
        <w:rPr>
          <w:b/>
        </w:rPr>
        <w:t>Financement </w:t>
      </w:r>
    </w:p>
    <w:p w14:paraId="62EBF3C5" w14:textId="77777777" w:rsidR="00812A17" w:rsidRPr="00812A17" w:rsidRDefault="00812A17" w:rsidP="000E0752">
      <w:pPr>
        <w:pStyle w:val="NormalWeb"/>
        <w:spacing w:before="0" w:beforeAutospacing="0" w:after="0"/>
        <w:jc w:val="both"/>
        <w:rPr>
          <w:i/>
        </w:rPr>
      </w:pPr>
    </w:p>
    <w:p w14:paraId="67198760" w14:textId="77777777" w:rsidR="00FD7729" w:rsidRDefault="00FD7729" w:rsidP="000E0752">
      <w:pPr>
        <w:pStyle w:val="NormalWeb"/>
        <w:spacing w:before="0" w:beforeAutospacing="0" w:after="0"/>
        <w:jc w:val="both"/>
      </w:pPr>
      <w:r>
        <w:t xml:space="preserve">La bourse </w:t>
      </w:r>
      <w:r w:rsidR="00745859">
        <w:t>Forsa</w:t>
      </w:r>
      <w:r>
        <w:t xml:space="preserve"> </w:t>
      </w:r>
      <w:r w:rsidR="00615FFF">
        <w:t>donne droit au</w:t>
      </w:r>
      <w:r w:rsidR="00FF7417">
        <w:t xml:space="preserve"> statut de « Boursier</w:t>
      </w:r>
      <w:r>
        <w:t xml:space="preserve"> du Gouvernement Français</w:t>
      </w:r>
      <w:r w:rsidR="00FF7417">
        <w:t> »</w:t>
      </w:r>
      <w:r>
        <w:t>.</w:t>
      </w:r>
    </w:p>
    <w:p w14:paraId="6D98A12B" w14:textId="77777777" w:rsidR="00FD7729" w:rsidRDefault="00FD7729" w:rsidP="000E0752">
      <w:pPr>
        <w:pStyle w:val="NormalWeb"/>
        <w:spacing w:before="0" w:beforeAutospacing="0" w:after="0"/>
        <w:jc w:val="both"/>
      </w:pPr>
    </w:p>
    <w:p w14:paraId="456C42D4" w14:textId="77777777" w:rsidR="00041530" w:rsidRDefault="00FD7729" w:rsidP="000E0752">
      <w:pPr>
        <w:pStyle w:val="NormalWeb"/>
        <w:spacing w:before="0" w:beforeAutospacing="0" w:after="0"/>
        <w:jc w:val="both"/>
      </w:pPr>
      <w:r>
        <w:t xml:space="preserve">La bourse d’études comprend : </w:t>
      </w:r>
    </w:p>
    <w:p w14:paraId="1EE52991" w14:textId="77777777" w:rsidR="00812A17" w:rsidRDefault="00615FFF" w:rsidP="00386A43">
      <w:pPr>
        <w:pStyle w:val="NormalWeb"/>
        <w:numPr>
          <w:ilvl w:val="0"/>
          <w:numId w:val="20"/>
        </w:numPr>
        <w:spacing w:before="0" w:beforeAutospacing="0" w:after="0"/>
        <w:jc w:val="both"/>
      </w:pPr>
      <w:r>
        <w:t>une a</w:t>
      </w:r>
      <w:r w:rsidR="00386A43">
        <w:t>llocation</w:t>
      </w:r>
      <w:r w:rsidR="00812A17">
        <w:t xml:space="preserve"> </w:t>
      </w:r>
      <w:r w:rsidR="00FF7417">
        <w:t xml:space="preserve">d’entretien </w:t>
      </w:r>
      <w:r w:rsidR="00812A17">
        <w:t xml:space="preserve">de </w:t>
      </w:r>
      <w:r w:rsidR="00FD7729">
        <w:t>700</w:t>
      </w:r>
      <w:r w:rsidR="00812A17">
        <w:t xml:space="preserve"> euros par mois</w:t>
      </w:r>
      <w:r w:rsidR="00FF7417">
        <w:t xml:space="preserve">, </w:t>
      </w:r>
      <w:r w:rsidR="00672C18">
        <w:t>versée mensuellement</w:t>
      </w:r>
      <w:r w:rsidR="00386A43">
        <w:t xml:space="preserve"> </w:t>
      </w:r>
      <w:r>
        <w:t>à l’étudiant ;</w:t>
      </w:r>
    </w:p>
    <w:p w14:paraId="776CFFEE" w14:textId="77777777" w:rsidR="00FD7729" w:rsidRDefault="1E8C75C7" w:rsidP="1E8C75C7">
      <w:pPr>
        <w:pStyle w:val="NormalWeb"/>
        <w:numPr>
          <w:ilvl w:val="0"/>
          <w:numId w:val="20"/>
        </w:numPr>
        <w:spacing w:before="0" w:beforeAutospacing="0" w:after="0"/>
        <w:jc w:val="both"/>
        <w:rPr>
          <w:color w:val="000000" w:themeColor="text1"/>
        </w:rPr>
      </w:pPr>
      <w:r w:rsidRPr="1E8C75C7">
        <w:rPr>
          <w:color w:val="auto"/>
        </w:rPr>
        <w:t>l’exonération des frais d’inscription en France dans les établissements publics sous l’égide du Ministère de l’Enseignement supérieur, de la Recherche et de l’Innovation (MESRI) OU la prise en charge plafonnée à 5 000 € par année académique des frais de formation dans des établissements ne relevant pas du MESRI ;</w:t>
      </w:r>
    </w:p>
    <w:p w14:paraId="29885F0C" w14:textId="77777777" w:rsidR="00386A43" w:rsidRDefault="00615FFF" w:rsidP="00386A43">
      <w:pPr>
        <w:pStyle w:val="NormalWeb"/>
        <w:numPr>
          <w:ilvl w:val="0"/>
          <w:numId w:val="20"/>
        </w:numPr>
        <w:spacing w:before="0" w:beforeAutospacing="0" w:after="0"/>
        <w:jc w:val="both"/>
      </w:pPr>
      <w:r>
        <w:t>la g</w:t>
      </w:r>
      <w:r w:rsidR="00386A43">
        <w:t>ratuité du visa</w:t>
      </w:r>
      <w:r>
        <w:t> ;</w:t>
      </w:r>
    </w:p>
    <w:p w14:paraId="36B86A59" w14:textId="77777777" w:rsidR="00386A43" w:rsidRDefault="00615FFF" w:rsidP="00386A43">
      <w:pPr>
        <w:pStyle w:val="NormalWeb"/>
        <w:numPr>
          <w:ilvl w:val="0"/>
          <w:numId w:val="20"/>
        </w:numPr>
        <w:spacing w:before="0" w:beforeAutospacing="0" w:after="0"/>
        <w:jc w:val="both"/>
      </w:pPr>
      <w:r>
        <w:t>la p</w:t>
      </w:r>
      <w:r w:rsidR="00386A43">
        <w:t xml:space="preserve">rise en charge de la couverture sociale en </w:t>
      </w:r>
      <w:r>
        <w:t>France ;</w:t>
      </w:r>
    </w:p>
    <w:p w14:paraId="6C7FDE48" w14:textId="77777777" w:rsidR="00386A43" w:rsidRDefault="00615FFF" w:rsidP="00386A43">
      <w:pPr>
        <w:pStyle w:val="NormalWeb"/>
        <w:numPr>
          <w:ilvl w:val="0"/>
          <w:numId w:val="20"/>
        </w:numPr>
        <w:spacing w:before="0" w:beforeAutospacing="0" w:after="0"/>
        <w:jc w:val="both"/>
      </w:pPr>
      <w:r>
        <w:t>la p</w:t>
      </w:r>
      <w:r w:rsidR="00386A43">
        <w:t xml:space="preserve">rise en charge d’un billet d’avion aller-retour entre le Liban et la </w:t>
      </w:r>
      <w:r>
        <w:t>France ;</w:t>
      </w:r>
    </w:p>
    <w:p w14:paraId="06015C4C" w14:textId="77777777" w:rsidR="00386A43" w:rsidRDefault="00615FFF" w:rsidP="00386A43">
      <w:pPr>
        <w:pStyle w:val="NormalWeb"/>
        <w:numPr>
          <w:ilvl w:val="0"/>
          <w:numId w:val="20"/>
        </w:numPr>
        <w:spacing w:before="0" w:beforeAutospacing="0" w:after="0"/>
        <w:jc w:val="both"/>
      </w:pPr>
      <w:r>
        <w:t>la p</w:t>
      </w:r>
      <w:r w:rsidR="00A0146B">
        <w:t>rise en charge du transport entre l’aéroport d’</w:t>
      </w:r>
      <w:r w:rsidR="00672C18">
        <w:t>arrivée et le lieu de séjour</w:t>
      </w:r>
      <w:r w:rsidR="00DE0BB3">
        <w:t xml:space="preserve"> </w:t>
      </w:r>
      <w:r>
        <w:t>à l’arrivée ;</w:t>
      </w:r>
    </w:p>
    <w:p w14:paraId="066C5FE1" w14:textId="719333DA" w:rsidR="00A0146B" w:rsidRPr="00E40167" w:rsidRDefault="3456FB5F" w:rsidP="3456FB5F">
      <w:pPr>
        <w:pStyle w:val="NormalWeb"/>
        <w:numPr>
          <w:ilvl w:val="0"/>
          <w:numId w:val="20"/>
        </w:numPr>
        <w:spacing w:before="0" w:beforeAutospacing="0" w:after="0"/>
        <w:jc w:val="both"/>
        <w:rPr>
          <w:color w:val="auto"/>
        </w:rPr>
      </w:pPr>
      <w:r>
        <w:t>l’accès prioritaire aux résidences universitaires (CROUS) sous réserve de disponibilités. Un logement est également possible en résidence privée à l</w:t>
      </w:r>
      <w:r w:rsidR="00E40167">
        <w:t>a demande</w:t>
      </w:r>
      <w:r>
        <w:t xml:space="preserve"> du boursier</w:t>
      </w:r>
      <w:r w:rsidR="00E40167">
        <w:rPr>
          <w:color w:val="auto"/>
        </w:rPr>
        <w:t>.</w:t>
      </w:r>
    </w:p>
    <w:p w14:paraId="2946DB82" w14:textId="77777777" w:rsidR="00041530" w:rsidRDefault="00041530" w:rsidP="3456FB5F">
      <w:pPr>
        <w:pStyle w:val="NormalWeb"/>
        <w:spacing w:before="0" w:beforeAutospacing="0" w:after="0"/>
        <w:ind w:left="720"/>
        <w:jc w:val="both"/>
        <w:rPr>
          <w:color w:val="FF0000"/>
        </w:rPr>
      </w:pPr>
    </w:p>
    <w:p w14:paraId="5997CC1D" w14:textId="77777777" w:rsidR="00041530" w:rsidRDefault="00041530" w:rsidP="00041530">
      <w:pPr>
        <w:pStyle w:val="NormalWeb"/>
        <w:spacing w:before="0" w:beforeAutospacing="0" w:after="0"/>
        <w:ind w:left="720"/>
        <w:jc w:val="both"/>
      </w:pPr>
    </w:p>
    <w:p w14:paraId="77D787EF" w14:textId="77777777" w:rsidR="00A0146B" w:rsidRPr="0076685C" w:rsidRDefault="00672C18" w:rsidP="0076685C">
      <w:pPr>
        <w:pStyle w:val="NormalWeb"/>
        <w:numPr>
          <w:ilvl w:val="1"/>
          <w:numId w:val="24"/>
        </w:numPr>
        <w:pBdr>
          <w:bottom w:val="single" w:sz="4" w:space="1" w:color="auto"/>
        </w:pBdr>
        <w:spacing w:before="0" w:beforeAutospacing="0" w:after="0"/>
        <w:jc w:val="both"/>
        <w:rPr>
          <w:b/>
        </w:rPr>
      </w:pPr>
      <w:r w:rsidRPr="0076685C">
        <w:rPr>
          <w:b/>
        </w:rPr>
        <w:t>Critères d’éligibilité </w:t>
      </w:r>
    </w:p>
    <w:p w14:paraId="110FFD37" w14:textId="77777777" w:rsidR="00A0146B" w:rsidRDefault="00A0146B" w:rsidP="00DD06DA">
      <w:pPr>
        <w:pStyle w:val="NormalWeb"/>
        <w:spacing w:before="0" w:beforeAutospacing="0" w:after="0"/>
        <w:jc w:val="both"/>
      </w:pPr>
    </w:p>
    <w:p w14:paraId="44CA6439" w14:textId="77777777" w:rsidR="00A0146B" w:rsidRDefault="00A0146B" w:rsidP="00DD06DA">
      <w:pPr>
        <w:pStyle w:val="NormalWeb"/>
        <w:spacing w:before="0" w:beforeAutospacing="0" w:after="0"/>
        <w:jc w:val="both"/>
      </w:pPr>
      <w:r>
        <w:t xml:space="preserve">Le(a) candidat(e) à une bourse </w:t>
      </w:r>
      <w:r w:rsidR="00745859">
        <w:t>Forsa</w:t>
      </w:r>
      <w:r>
        <w:t xml:space="preserve"> doit satisfaire aux critères suivants :</w:t>
      </w:r>
    </w:p>
    <w:p w14:paraId="6B699379" w14:textId="77777777" w:rsidR="00B50D7F" w:rsidRDefault="00B50D7F" w:rsidP="00DD06DA">
      <w:pPr>
        <w:pStyle w:val="NormalWeb"/>
        <w:spacing w:before="0" w:beforeAutospacing="0" w:after="0"/>
        <w:jc w:val="both"/>
      </w:pPr>
    </w:p>
    <w:p w14:paraId="769B0975" w14:textId="66D3AE22" w:rsidR="00A0146B" w:rsidRDefault="3456FB5F" w:rsidP="3456FB5F">
      <w:pPr>
        <w:pStyle w:val="NormalWeb"/>
        <w:numPr>
          <w:ilvl w:val="0"/>
          <w:numId w:val="21"/>
        </w:numPr>
        <w:spacing w:before="0" w:beforeAutospacing="0" w:after="0"/>
        <w:jc w:val="both"/>
      </w:pPr>
      <w:r>
        <w:t>Être de nationalité libanaise et résider au Liban ;</w:t>
      </w:r>
    </w:p>
    <w:p w14:paraId="4E4FB296" w14:textId="0096022D" w:rsidR="0019498A" w:rsidRPr="005108D2" w:rsidRDefault="3456FB5F" w:rsidP="3456FB5F">
      <w:pPr>
        <w:pStyle w:val="NormalWeb"/>
        <w:numPr>
          <w:ilvl w:val="0"/>
          <w:numId w:val="21"/>
        </w:numPr>
        <w:spacing w:before="0" w:beforeAutospacing="0" w:after="0"/>
        <w:jc w:val="both"/>
      </w:pPr>
      <w:r>
        <w:t>Être inscrit dans un cursus de formation d’une université libanaise au titre de l’année en cours ;</w:t>
      </w:r>
    </w:p>
    <w:p w14:paraId="69C5D761" w14:textId="00E38A0A" w:rsidR="0080038A" w:rsidRDefault="3456FB5F" w:rsidP="3456FB5F">
      <w:pPr>
        <w:pStyle w:val="NormalWeb"/>
        <w:numPr>
          <w:ilvl w:val="0"/>
          <w:numId w:val="21"/>
        </w:numPr>
        <w:spacing w:before="0" w:beforeAutospacing="0" w:after="0"/>
        <w:jc w:val="both"/>
      </w:pPr>
      <w:r>
        <w:t>Être admis dans un établissement d’enseignement supérieur français ;</w:t>
      </w:r>
    </w:p>
    <w:p w14:paraId="36697609" w14:textId="210232B7" w:rsidR="00DE0BB3" w:rsidRDefault="3456FB5F" w:rsidP="3456FB5F">
      <w:pPr>
        <w:pStyle w:val="NormalWeb"/>
        <w:numPr>
          <w:ilvl w:val="0"/>
          <w:numId w:val="21"/>
        </w:numPr>
        <w:spacing w:before="0" w:beforeAutospacing="0" w:after="0"/>
        <w:jc w:val="both"/>
      </w:pPr>
      <w:r>
        <w:lastRenderedPageBreak/>
        <w:t xml:space="preserve">Avoir les compétences linguistiques adaptées au niveau requis pour la formation en France. </w:t>
      </w:r>
    </w:p>
    <w:p w14:paraId="1F72F646" w14:textId="30B131A6" w:rsidR="00B50D7F" w:rsidRPr="00D91761" w:rsidRDefault="00B50D7F" w:rsidP="3456FB5F">
      <w:pPr>
        <w:pStyle w:val="NormalWeb"/>
        <w:spacing w:before="0" w:beforeAutospacing="0" w:after="0"/>
        <w:ind w:left="720"/>
        <w:jc w:val="both"/>
        <w:rPr>
          <w:color w:val="000000" w:themeColor="text1"/>
        </w:rPr>
      </w:pPr>
    </w:p>
    <w:p w14:paraId="76E5F61F" w14:textId="77777777" w:rsidR="00041530" w:rsidRDefault="00041530" w:rsidP="00041530">
      <w:pPr>
        <w:pStyle w:val="NormalWeb"/>
        <w:spacing w:before="0" w:beforeAutospacing="0" w:after="0"/>
        <w:jc w:val="both"/>
        <w:rPr>
          <w:i/>
        </w:rPr>
      </w:pPr>
      <w:r w:rsidRPr="00AE6A91">
        <w:rPr>
          <w:i/>
        </w:rPr>
        <w:t>Ne sont pas éligibles :</w:t>
      </w:r>
    </w:p>
    <w:p w14:paraId="08CE6F91" w14:textId="77777777" w:rsidR="00041530" w:rsidRPr="00AE6A91" w:rsidRDefault="00041530" w:rsidP="00041530">
      <w:pPr>
        <w:pStyle w:val="NormalWeb"/>
        <w:spacing w:before="0" w:beforeAutospacing="0" w:after="0"/>
        <w:jc w:val="both"/>
        <w:rPr>
          <w:i/>
        </w:rPr>
      </w:pPr>
    </w:p>
    <w:p w14:paraId="46139BEC" w14:textId="4C65A83D" w:rsidR="00041530" w:rsidRDefault="3456FB5F" w:rsidP="3456FB5F">
      <w:pPr>
        <w:pStyle w:val="NormalWeb"/>
        <w:numPr>
          <w:ilvl w:val="0"/>
          <w:numId w:val="29"/>
        </w:numPr>
        <w:spacing w:before="0" w:beforeAutospacing="0" w:after="0"/>
        <w:jc w:val="both"/>
      </w:pPr>
      <w:r>
        <w:t xml:space="preserve">Les étudiants franco-libanais ; </w:t>
      </w:r>
    </w:p>
    <w:p w14:paraId="66F68EB7" w14:textId="1F260904" w:rsidR="00041530" w:rsidRDefault="3456FB5F" w:rsidP="3456FB5F">
      <w:pPr>
        <w:pStyle w:val="NormalWeb"/>
        <w:numPr>
          <w:ilvl w:val="0"/>
          <w:numId w:val="29"/>
        </w:numPr>
        <w:spacing w:before="0" w:beforeAutospacing="0" w:after="0"/>
        <w:jc w:val="both"/>
      </w:pPr>
      <w:r>
        <w:t xml:space="preserve">Les étudiants déjà en France ou étudiant à l’étranger ; </w:t>
      </w:r>
    </w:p>
    <w:p w14:paraId="4A6CBD1E" w14:textId="77777777" w:rsidR="00041530" w:rsidRDefault="00041530" w:rsidP="00041530">
      <w:pPr>
        <w:pStyle w:val="NormalWeb"/>
        <w:numPr>
          <w:ilvl w:val="0"/>
          <w:numId w:val="29"/>
        </w:numPr>
        <w:spacing w:before="0" w:beforeAutospacing="0" w:after="0"/>
        <w:jc w:val="both"/>
      </w:pPr>
      <w:r>
        <w:t>Les étudiants qui bénéficient déjà d’une bourse pour partir étudier à l’étranger.</w:t>
      </w:r>
    </w:p>
    <w:p w14:paraId="61CDCEAD" w14:textId="77777777" w:rsidR="000F6181" w:rsidRDefault="000F6181" w:rsidP="000F6181">
      <w:pPr>
        <w:pStyle w:val="NormalWeb"/>
        <w:spacing w:before="0" w:beforeAutospacing="0" w:after="0"/>
        <w:jc w:val="both"/>
        <w:rPr>
          <w:i/>
        </w:rPr>
      </w:pPr>
    </w:p>
    <w:p w14:paraId="6BB9E253" w14:textId="77777777" w:rsidR="0076685C" w:rsidRDefault="0076685C" w:rsidP="000F6181">
      <w:pPr>
        <w:pStyle w:val="NormalWeb"/>
        <w:spacing w:before="0" w:beforeAutospacing="0" w:after="0"/>
        <w:jc w:val="both"/>
        <w:rPr>
          <w:i/>
        </w:rPr>
      </w:pPr>
    </w:p>
    <w:p w14:paraId="5F51EA41" w14:textId="77777777" w:rsidR="000F6181" w:rsidRPr="0076685C" w:rsidRDefault="000F6181" w:rsidP="0076685C">
      <w:pPr>
        <w:pStyle w:val="NormalWeb"/>
        <w:numPr>
          <w:ilvl w:val="1"/>
          <w:numId w:val="24"/>
        </w:numPr>
        <w:pBdr>
          <w:bottom w:val="single" w:sz="4" w:space="1" w:color="auto"/>
        </w:pBdr>
        <w:spacing w:before="0" w:beforeAutospacing="0" w:after="0"/>
        <w:jc w:val="both"/>
        <w:rPr>
          <w:b/>
        </w:rPr>
      </w:pPr>
      <w:r w:rsidRPr="0076685C">
        <w:rPr>
          <w:b/>
        </w:rPr>
        <w:t>Critères de sélection</w:t>
      </w:r>
      <w:r w:rsidR="00672C18" w:rsidRPr="0076685C">
        <w:rPr>
          <w:b/>
        </w:rPr>
        <w:t> </w:t>
      </w:r>
    </w:p>
    <w:p w14:paraId="23DE523C" w14:textId="77777777" w:rsidR="000F6181" w:rsidRDefault="000F6181" w:rsidP="000F6181">
      <w:pPr>
        <w:pStyle w:val="NormalWeb"/>
        <w:spacing w:before="0" w:beforeAutospacing="0" w:after="0"/>
        <w:jc w:val="both"/>
      </w:pPr>
    </w:p>
    <w:p w14:paraId="0C0A3A71" w14:textId="77777777" w:rsidR="000F6181" w:rsidRDefault="000F6181" w:rsidP="000F6181">
      <w:pPr>
        <w:pStyle w:val="NormalWeb"/>
        <w:spacing w:before="0" w:beforeAutospacing="0" w:after="0"/>
        <w:jc w:val="both"/>
      </w:pPr>
      <w:r>
        <w:t xml:space="preserve">Le(a) candidat(e) à une bourse </w:t>
      </w:r>
      <w:r w:rsidR="009D27B9">
        <w:t>d’études</w:t>
      </w:r>
      <w:r>
        <w:t xml:space="preserve"> sera sélectionné(e) sur les critères suivants :</w:t>
      </w:r>
    </w:p>
    <w:p w14:paraId="52E56223" w14:textId="77777777" w:rsidR="000F6181" w:rsidRDefault="000F6181" w:rsidP="000F6181">
      <w:pPr>
        <w:pStyle w:val="NormalWeb"/>
        <w:spacing w:before="0" w:beforeAutospacing="0" w:after="0"/>
        <w:jc w:val="both"/>
      </w:pPr>
    </w:p>
    <w:p w14:paraId="415E2F6C" w14:textId="5CD3FB3C" w:rsidR="00E87790" w:rsidRDefault="3456FB5F" w:rsidP="3456FB5F">
      <w:pPr>
        <w:pStyle w:val="NormalWeb"/>
        <w:numPr>
          <w:ilvl w:val="0"/>
          <w:numId w:val="21"/>
        </w:numPr>
        <w:spacing w:before="0" w:beforeAutospacing="0" w:after="0"/>
        <w:jc w:val="both"/>
      </w:pPr>
      <w:r>
        <w:t xml:space="preserve">Excellence du parcours académique (notes et classement) ; </w:t>
      </w:r>
    </w:p>
    <w:p w14:paraId="4AE5BA3C" w14:textId="6C759DA1" w:rsidR="00E87790" w:rsidRDefault="3456FB5F" w:rsidP="3456FB5F">
      <w:pPr>
        <w:pStyle w:val="NormalWeb"/>
        <w:numPr>
          <w:ilvl w:val="0"/>
          <w:numId w:val="21"/>
        </w:numPr>
        <w:spacing w:before="0" w:beforeAutospacing="0" w:after="0"/>
        <w:jc w:val="both"/>
      </w:pPr>
      <w:r>
        <w:t xml:space="preserve">Valeur ajoutée d’une mobilité en France dans le cadre du parcours d’études ; </w:t>
      </w:r>
    </w:p>
    <w:p w14:paraId="69E23B83" w14:textId="3CD432EC" w:rsidR="00E87790" w:rsidRPr="00E40167" w:rsidRDefault="3456FB5F" w:rsidP="3456FB5F">
      <w:pPr>
        <w:pStyle w:val="NormalWeb"/>
        <w:numPr>
          <w:ilvl w:val="0"/>
          <w:numId w:val="21"/>
        </w:numPr>
        <w:spacing w:before="0" w:beforeAutospacing="0" w:after="0"/>
        <w:jc w:val="both"/>
      </w:pPr>
      <w:r w:rsidRPr="00E40167">
        <w:rPr>
          <w:color w:val="000000" w:themeColor="text1"/>
        </w:rPr>
        <w:t xml:space="preserve">Dynamisme du partenariat interuniversitaire franco-libanais dans lequel s’inscrit cette mobilité. </w:t>
      </w:r>
    </w:p>
    <w:p w14:paraId="095C79E7" w14:textId="2A173190" w:rsidR="00E87790" w:rsidRDefault="00E87790" w:rsidP="3456FB5F">
      <w:pPr>
        <w:pStyle w:val="NormalWeb"/>
        <w:spacing w:before="0" w:beforeAutospacing="0" w:after="0"/>
        <w:jc w:val="both"/>
      </w:pPr>
    </w:p>
    <w:p w14:paraId="5043CB0F" w14:textId="0E14DD7B" w:rsidR="00E87790" w:rsidRDefault="3456FB5F" w:rsidP="3456FB5F">
      <w:pPr>
        <w:pStyle w:val="NormalWeb"/>
        <w:spacing w:before="0" w:beforeAutospacing="0" w:after="0"/>
        <w:jc w:val="both"/>
      </w:pPr>
      <w:r>
        <w:t xml:space="preserve">A qualité de candidature égale, la situation socio-économique des candidats pourra être prise en compte dans la sélection finale sur avis de l’établissement d’origine. </w:t>
      </w:r>
    </w:p>
    <w:p w14:paraId="55EA883F" w14:textId="5F91629B" w:rsidR="3456FB5F" w:rsidRDefault="3456FB5F" w:rsidP="3456FB5F">
      <w:pPr>
        <w:pStyle w:val="NormalWeb"/>
        <w:spacing w:before="0" w:beforeAutospacing="0" w:after="0"/>
        <w:jc w:val="both"/>
        <w:rPr>
          <w:color w:val="000000" w:themeColor="text1"/>
        </w:rPr>
      </w:pPr>
    </w:p>
    <w:p w14:paraId="76365438" w14:textId="3DA9A51F" w:rsidR="3456FB5F" w:rsidRDefault="3456FB5F" w:rsidP="3456FB5F">
      <w:pPr>
        <w:pStyle w:val="NormalWeb"/>
        <w:spacing w:before="0" w:beforeAutospacing="0" w:after="0"/>
        <w:jc w:val="both"/>
        <w:rPr>
          <w:color w:val="000000" w:themeColor="text1"/>
        </w:rPr>
      </w:pPr>
    </w:p>
    <w:p w14:paraId="3A329D77" w14:textId="77777777" w:rsidR="00A0146B" w:rsidRPr="0076685C" w:rsidRDefault="00672C18" w:rsidP="0076685C">
      <w:pPr>
        <w:pStyle w:val="NormalWeb"/>
        <w:numPr>
          <w:ilvl w:val="1"/>
          <w:numId w:val="24"/>
        </w:numPr>
        <w:pBdr>
          <w:bottom w:val="single" w:sz="4" w:space="1" w:color="auto"/>
        </w:pBdr>
        <w:spacing w:before="0" w:beforeAutospacing="0" w:after="0"/>
        <w:jc w:val="both"/>
        <w:rPr>
          <w:b/>
        </w:rPr>
      </w:pPr>
      <w:r w:rsidRPr="0076685C">
        <w:rPr>
          <w:b/>
        </w:rPr>
        <w:t>Dossier de candidature </w:t>
      </w:r>
    </w:p>
    <w:p w14:paraId="07459315" w14:textId="77777777" w:rsidR="00BE086B" w:rsidRDefault="00BE086B" w:rsidP="00DD06DA">
      <w:pPr>
        <w:pStyle w:val="NormalWeb"/>
        <w:spacing w:before="0" w:beforeAutospacing="0" w:after="0"/>
        <w:jc w:val="both"/>
      </w:pPr>
    </w:p>
    <w:p w14:paraId="72F294B3" w14:textId="77777777" w:rsidR="00353D04" w:rsidRDefault="00BE086B" w:rsidP="00DD06DA">
      <w:pPr>
        <w:pStyle w:val="NormalWeb"/>
        <w:spacing w:before="0" w:beforeAutospacing="0" w:after="0"/>
        <w:jc w:val="both"/>
      </w:pPr>
      <w:r>
        <w:t xml:space="preserve">Le(a) candidat(e) devra </w:t>
      </w:r>
      <w:r w:rsidR="00316F12">
        <w:t xml:space="preserve">remplir le </w:t>
      </w:r>
      <w:r w:rsidR="00353D04">
        <w:t xml:space="preserve">formulaire </w:t>
      </w:r>
      <w:r w:rsidR="00117970">
        <w:t>diffusé</w:t>
      </w:r>
      <w:r w:rsidR="00353D04">
        <w:t xml:space="preserve"> par </w:t>
      </w:r>
      <w:r w:rsidR="00117970">
        <w:t>son université</w:t>
      </w:r>
      <w:r w:rsidR="00353D04">
        <w:t xml:space="preserve"> et </w:t>
      </w:r>
      <w:r w:rsidR="002F442B">
        <w:t>fournir les pièces demandées :</w:t>
      </w:r>
    </w:p>
    <w:p w14:paraId="6537F28F" w14:textId="77777777" w:rsidR="00353D04" w:rsidRDefault="00353D04" w:rsidP="00DD06DA">
      <w:pPr>
        <w:pStyle w:val="NormalWeb"/>
        <w:spacing w:before="0" w:beforeAutospacing="0" w:after="0"/>
        <w:jc w:val="both"/>
      </w:pPr>
    </w:p>
    <w:p w14:paraId="71F02C2D" w14:textId="7A6158A9" w:rsidR="00353D04" w:rsidRDefault="3456FB5F" w:rsidP="3456FB5F">
      <w:pPr>
        <w:pStyle w:val="NormalWeb"/>
        <w:numPr>
          <w:ilvl w:val="0"/>
          <w:numId w:val="22"/>
        </w:numPr>
        <w:spacing w:before="0" w:beforeAutospacing="0" w:after="0"/>
        <w:jc w:val="both"/>
      </w:pPr>
      <w:r>
        <w:t xml:space="preserve">Formulaire de candidature ; </w:t>
      </w:r>
    </w:p>
    <w:p w14:paraId="0C44D23A" w14:textId="29256546" w:rsidR="00745859" w:rsidRDefault="3456FB5F" w:rsidP="3456FB5F">
      <w:pPr>
        <w:pStyle w:val="NormalWeb"/>
        <w:numPr>
          <w:ilvl w:val="0"/>
          <w:numId w:val="22"/>
        </w:numPr>
        <w:spacing w:before="0" w:beforeAutospacing="0" w:after="0"/>
        <w:jc w:val="both"/>
      </w:pPr>
      <w:r>
        <w:t xml:space="preserve">Copie de la pièce d’identité ; </w:t>
      </w:r>
    </w:p>
    <w:p w14:paraId="044DDA45" w14:textId="36B92717" w:rsidR="006201C4" w:rsidRDefault="3456FB5F" w:rsidP="3456FB5F">
      <w:pPr>
        <w:pStyle w:val="NormalWeb"/>
        <w:numPr>
          <w:ilvl w:val="0"/>
          <w:numId w:val="22"/>
        </w:numPr>
        <w:spacing w:before="0" w:beforeAutospacing="0" w:after="0"/>
        <w:jc w:val="both"/>
      </w:pPr>
      <w:r>
        <w:t>Copie de la carte d’étudiant ;</w:t>
      </w:r>
    </w:p>
    <w:p w14:paraId="2BF7809D" w14:textId="14E01BE0" w:rsidR="009B3064" w:rsidRDefault="3456FB5F" w:rsidP="3456FB5F">
      <w:pPr>
        <w:pStyle w:val="NormalWeb"/>
        <w:numPr>
          <w:ilvl w:val="0"/>
          <w:numId w:val="22"/>
        </w:numPr>
        <w:spacing w:before="0" w:beforeAutospacing="0" w:after="0"/>
        <w:jc w:val="both"/>
      </w:pPr>
      <w:r>
        <w:t xml:space="preserve">Relevés de notes de l’année en cours et de l’année précédente certifiés par l’université d’origine ; </w:t>
      </w:r>
    </w:p>
    <w:p w14:paraId="4B28278D" w14:textId="4B45CB5F" w:rsidR="00316F12" w:rsidRDefault="3456FB5F" w:rsidP="3456FB5F">
      <w:pPr>
        <w:pStyle w:val="NormalWeb"/>
        <w:numPr>
          <w:ilvl w:val="0"/>
          <w:numId w:val="22"/>
        </w:numPr>
        <w:spacing w:before="0" w:beforeAutospacing="0" w:after="0"/>
        <w:jc w:val="both"/>
      </w:pPr>
      <w:r>
        <w:t xml:space="preserve">CV en français ou en anglais ; </w:t>
      </w:r>
    </w:p>
    <w:p w14:paraId="56F9EF9E" w14:textId="34BF4F06" w:rsidR="006201C4" w:rsidRPr="00E40167" w:rsidRDefault="3456FB5F" w:rsidP="3456FB5F">
      <w:pPr>
        <w:pStyle w:val="NormalWeb"/>
        <w:numPr>
          <w:ilvl w:val="0"/>
          <w:numId w:val="22"/>
        </w:numPr>
        <w:spacing w:before="0" w:beforeAutospacing="0" w:after="0"/>
        <w:jc w:val="both"/>
      </w:pPr>
      <w:r w:rsidRPr="00E40167">
        <w:t>Pour les étudiants du cas n°1 : inscription et pré-admission dans l’établissement français ;</w:t>
      </w:r>
    </w:p>
    <w:p w14:paraId="74C1087C" w14:textId="5055A7AF" w:rsidR="00D54794" w:rsidRPr="00E40167" w:rsidRDefault="3456FB5F" w:rsidP="3456FB5F">
      <w:pPr>
        <w:pStyle w:val="NormalWeb"/>
        <w:numPr>
          <w:ilvl w:val="0"/>
          <w:numId w:val="22"/>
        </w:numPr>
        <w:spacing w:before="0" w:beforeAutospacing="0" w:after="0"/>
        <w:jc w:val="both"/>
      </w:pPr>
      <w:r w:rsidRPr="00E40167">
        <w:t xml:space="preserve">Pour les étudiants du cas n°2 : n° de dossier Campus France validé </w:t>
      </w:r>
      <w:r w:rsidRPr="00E40167">
        <w:rPr>
          <w:i/>
          <w:iCs/>
        </w:rPr>
        <w:t>ou</w:t>
      </w:r>
      <w:r w:rsidRPr="00E40167">
        <w:t xml:space="preserve"> document de l’établissement français attestant d’une demande d’inscription/pré-admission ;</w:t>
      </w:r>
    </w:p>
    <w:p w14:paraId="2D9E4591" w14:textId="182C9B04" w:rsidR="3456FB5F" w:rsidRDefault="3456FB5F" w:rsidP="3456FB5F">
      <w:pPr>
        <w:pStyle w:val="NormalWeb"/>
        <w:numPr>
          <w:ilvl w:val="0"/>
          <w:numId w:val="22"/>
        </w:numPr>
        <w:spacing w:before="0" w:beforeAutospacing="0" w:after="0"/>
        <w:jc w:val="both"/>
        <w:rPr>
          <w:i/>
          <w:iCs/>
        </w:rPr>
      </w:pPr>
      <w:r w:rsidRPr="00E40167">
        <w:t>Avis du directeur du Master ou de l’école d’ingénieur libanaise sur la candidature</w:t>
      </w:r>
      <w:r>
        <w:t xml:space="preserve"> </w:t>
      </w:r>
      <w:r w:rsidRPr="3456FB5F">
        <w:rPr>
          <w:i/>
          <w:iCs/>
        </w:rPr>
        <w:t xml:space="preserve">(uniquement pour les étudiants en double </w:t>
      </w:r>
      <w:r w:rsidR="00726DF7">
        <w:rPr>
          <w:i/>
          <w:iCs/>
        </w:rPr>
        <w:t>diplomation ou co-diplomation).</w:t>
      </w:r>
    </w:p>
    <w:p w14:paraId="70DF9E56" w14:textId="77777777" w:rsidR="006201C4" w:rsidRDefault="006201C4" w:rsidP="3456FB5F">
      <w:pPr>
        <w:pStyle w:val="NormalWeb"/>
        <w:spacing w:before="0" w:beforeAutospacing="0" w:after="0"/>
        <w:ind w:left="780"/>
        <w:jc w:val="both"/>
        <w:rPr>
          <w:b/>
          <w:bCs/>
        </w:rPr>
      </w:pPr>
    </w:p>
    <w:p w14:paraId="216CEF11" w14:textId="3E42EC34" w:rsidR="00622968" w:rsidRPr="000D3DAF" w:rsidRDefault="3456FB5F" w:rsidP="3456FB5F">
      <w:pPr>
        <w:pStyle w:val="NormalWeb"/>
        <w:spacing w:before="0" w:beforeAutospacing="0" w:after="0"/>
        <w:jc w:val="both"/>
        <w:rPr>
          <w:b/>
          <w:bCs/>
          <w:u w:val="single"/>
        </w:rPr>
      </w:pPr>
      <w:r w:rsidRPr="3456FB5F">
        <w:rPr>
          <w:b/>
          <w:bCs/>
          <w:u w:val="single"/>
        </w:rPr>
        <w:t>Le dossier de candidature devra être adressé avant le 25 mars 2022 :</w:t>
      </w:r>
    </w:p>
    <w:p w14:paraId="44E871BC" w14:textId="77777777" w:rsidR="001B5136" w:rsidRDefault="001B5136" w:rsidP="0015569A">
      <w:pPr>
        <w:pStyle w:val="NormalWeb"/>
        <w:spacing w:before="0" w:beforeAutospacing="0" w:after="0"/>
        <w:jc w:val="both"/>
      </w:pPr>
    </w:p>
    <w:p w14:paraId="1D798519" w14:textId="050B638C" w:rsidR="009B3064" w:rsidRDefault="002A3203" w:rsidP="3456FB5F">
      <w:pPr>
        <w:pStyle w:val="NormalWeb"/>
        <w:numPr>
          <w:ilvl w:val="0"/>
          <w:numId w:val="25"/>
        </w:numPr>
        <w:spacing w:before="0" w:beforeAutospacing="0" w:after="0"/>
        <w:jc w:val="both"/>
      </w:pPr>
      <w:r>
        <w:t>à</w:t>
      </w:r>
      <w:r w:rsidR="3456FB5F">
        <w:t xml:space="preserve"> la direction des relations internationales de l’établissement d’origine du candidat en version électronique et/ou en version papier.</w:t>
      </w:r>
    </w:p>
    <w:p w14:paraId="144A5D23" w14:textId="77777777" w:rsidR="002F442B" w:rsidRDefault="002F442B" w:rsidP="002F442B">
      <w:pPr>
        <w:pStyle w:val="NormalWeb"/>
        <w:spacing w:before="0" w:beforeAutospacing="0" w:after="0"/>
        <w:ind w:left="720"/>
        <w:jc w:val="both"/>
      </w:pPr>
    </w:p>
    <w:p w14:paraId="00E52544" w14:textId="33EC267D" w:rsidR="002F442B" w:rsidRDefault="002A3203" w:rsidP="3456FB5F">
      <w:pPr>
        <w:pStyle w:val="NormalWeb"/>
        <w:numPr>
          <w:ilvl w:val="0"/>
          <w:numId w:val="25"/>
        </w:numPr>
        <w:spacing w:before="0" w:beforeAutospacing="0" w:after="0"/>
        <w:jc w:val="both"/>
      </w:pPr>
      <w:r>
        <w:t>à</w:t>
      </w:r>
      <w:r w:rsidR="3456FB5F">
        <w:t xml:space="preserve"> l’Ambassade de France en version électronique à l’adresse suivante :</w:t>
      </w:r>
    </w:p>
    <w:p w14:paraId="56098CB0" w14:textId="77777777" w:rsidR="009B3064" w:rsidRPr="002F442B" w:rsidRDefault="00B86A71" w:rsidP="002F442B">
      <w:pPr>
        <w:pStyle w:val="NormalWeb"/>
        <w:spacing w:before="0" w:beforeAutospacing="0" w:after="0"/>
        <w:ind w:left="720"/>
        <w:jc w:val="both"/>
      </w:pPr>
      <w:hyperlink r:id="rId10" w:history="1">
        <w:r w:rsidR="004007EF">
          <w:rPr>
            <w:rStyle w:val="Hyperlink"/>
          </w:rPr>
          <w:t>bourse-recherche.beyrouth-amba@diplomatie.gouv.fr</w:t>
        </w:r>
      </w:hyperlink>
    </w:p>
    <w:p w14:paraId="2522F78E" w14:textId="77777777" w:rsidR="008A4FE2" w:rsidRDefault="008A4FE2" w:rsidP="000E0752">
      <w:pPr>
        <w:pStyle w:val="NormalWeb"/>
        <w:spacing w:before="0" w:beforeAutospacing="0" w:after="0"/>
        <w:jc w:val="both"/>
        <w:rPr>
          <w:b/>
          <w:u w:val="single"/>
        </w:rPr>
      </w:pPr>
    </w:p>
    <w:p w14:paraId="12101D9B" w14:textId="174D0343" w:rsidR="00E40167" w:rsidRDefault="00E40167" w:rsidP="000E0752">
      <w:pPr>
        <w:pStyle w:val="NormalWeb"/>
        <w:spacing w:before="0" w:beforeAutospacing="0" w:after="0"/>
        <w:jc w:val="both"/>
      </w:pPr>
      <w:r w:rsidRPr="00990DF2">
        <w:rPr>
          <w:b/>
          <w:u w:val="single"/>
        </w:rPr>
        <w:lastRenderedPageBreak/>
        <w:t xml:space="preserve">Si toutefois le candidat ne dispose pas de son attestation de pré-admission dans un établissement français avant le 25 mars 2022, il pourra la transmettre </w:t>
      </w:r>
      <w:r w:rsidR="008A4FE2" w:rsidRPr="00990DF2">
        <w:rPr>
          <w:b/>
          <w:u w:val="single"/>
        </w:rPr>
        <w:t xml:space="preserve">par courriel </w:t>
      </w:r>
      <w:r w:rsidRPr="00990DF2">
        <w:rPr>
          <w:b/>
          <w:u w:val="single"/>
        </w:rPr>
        <w:t>à son université d’origine ainsi qu’à l’Ambassade de France avant le 1</w:t>
      </w:r>
      <w:r w:rsidR="00B1145B" w:rsidRPr="00990DF2">
        <w:rPr>
          <w:b/>
          <w:u w:val="single"/>
        </w:rPr>
        <w:t>0</w:t>
      </w:r>
      <w:r w:rsidRPr="00990DF2">
        <w:rPr>
          <w:b/>
          <w:u w:val="single"/>
        </w:rPr>
        <w:t xml:space="preserve"> </w:t>
      </w:r>
      <w:r w:rsidRPr="00990DF2">
        <w:rPr>
          <w:b/>
          <w:color w:val="auto"/>
          <w:u w:val="single"/>
        </w:rPr>
        <w:t xml:space="preserve">juillet. L’octroi définitif de la bourse sera </w:t>
      </w:r>
      <w:r w:rsidR="008A4FE2" w:rsidRPr="00990DF2">
        <w:rPr>
          <w:b/>
          <w:color w:val="auto"/>
          <w:u w:val="single"/>
        </w:rPr>
        <w:t>conditionné</w:t>
      </w:r>
      <w:r w:rsidRPr="00990DF2">
        <w:rPr>
          <w:b/>
          <w:color w:val="auto"/>
          <w:u w:val="single"/>
        </w:rPr>
        <w:t xml:space="preserve"> à la présentation de ce document dans les délais susmentionnés.</w:t>
      </w:r>
      <w:r w:rsidRPr="008A4FE2">
        <w:rPr>
          <w:color w:val="auto"/>
        </w:rPr>
        <w:t xml:space="preserve"> </w:t>
      </w:r>
    </w:p>
    <w:p w14:paraId="3B7B4B86" w14:textId="77777777" w:rsidR="00E87790" w:rsidRDefault="00E87790" w:rsidP="000E0752">
      <w:pPr>
        <w:pStyle w:val="NormalWeb"/>
        <w:spacing w:before="0" w:beforeAutospacing="0" w:after="0"/>
        <w:jc w:val="both"/>
      </w:pPr>
    </w:p>
    <w:p w14:paraId="6A434EC4" w14:textId="77777777" w:rsidR="00812A17" w:rsidRPr="002F2BD6" w:rsidRDefault="00672C18" w:rsidP="002F2BD6">
      <w:pPr>
        <w:pStyle w:val="NormalWeb"/>
        <w:numPr>
          <w:ilvl w:val="1"/>
          <w:numId w:val="24"/>
        </w:numPr>
        <w:pBdr>
          <w:bottom w:val="single" w:sz="4" w:space="1" w:color="auto"/>
        </w:pBdr>
        <w:spacing w:before="0" w:beforeAutospacing="0" w:after="0"/>
        <w:jc w:val="both"/>
        <w:rPr>
          <w:b/>
        </w:rPr>
      </w:pPr>
      <w:r w:rsidRPr="002F2BD6">
        <w:rPr>
          <w:b/>
        </w:rPr>
        <w:t>Procédure </w:t>
      </w:r>
    </w:p>
    <w:p w14:paraId="3A0FF5F2" w14:textId="77777777" w:rsidR="00FC7DC9" w:rsidRDefault="00FC7DC9" w:rsidP="00FC7DC9">
      <w:pPr>
        <w:pStyle w:val="NormalWeb"/>
        <w:spacing w:before="0" w:beforeAutospacing="0" w:after="0"/>
        <w:jc w:val="both"/>
      </w:pPr>
    </w:p>
    <w:p w14:paraId="233E8D76" w14:textId="6E4BDB5C" w:rsidR="005177B9" w:rsidRDefault="3456FB5F" w:rsidP="3456FB5F">
      <w:pPr>
        <w:pStyle w:val="NormalWeb"/>
        <w:numPr>
          <w:ilvl w:val="0"/>
          <w:numId w:val="23"/>
        </w:numPr>
        <w:spacing w:before="0" w:beforeAutospacing="0" w:after="0"/>
        <w:jc w:val="both"/>
      </w:pPr>
      <w:r>
        <w:t xml:space="preserve">Le candidat adresse sa candidature à son université </w:t>
      </w:r>
      <w:r w:rsidRPr="3456FB5F">
        <w:rPr>
          <w:b/>
          <w:bCs/>
          <w:u w:val="single"/>
        </w:rPr>
        <w:t>et</w:t>
      </w:r>
      <w:r>
        <w:t xml:space="preserve"> à l’Ambassade de France avant le 25 mars 2022.</w:t>
      </w:r>
    </w:p>
    <w:p w14:paraId="1CA3F41E" w14:textId="29AB5EEF" w:rsidR="005177B9" w:rsidRDefault="3456FB5F" w:rsidP="3456FB5F">
      <w:pPr>
        <w:pStyle w:val="NormalWeb"/>
        <w:numPr>
          <w:ilvl w:val="0"/>
          <w:numId w:val="23"/>
        </w:numPr>
        <w:spacing w:before="0" w:beforeAutospacing="0" w:after="0"/>
        <w:jc w:val="both"/>
      </w:pPr>
      <w:r w:rsidRPr="3456FB5F">
        <w:rPr>
          <w:color w:val="000000" w:themeColor="text1"/>
        </w:rPr>
        <w:t>Pré-sélection des candidats par une commission composée de l’Ambassade de France et de l’université.</w:t>
      </w:r>
    </w:p>
    <w:p w14:paraId="6B9D5D53" w14:textId="672A0BEF" w:rsidR="005177B9" w:rsidRDefault="3456FB5F" w:rsidP="3456FB5F">
      <w:pPr>
        <w:pStyle w:val="NormalWeb"/>
        <w:numPr>
          <w:ilvl w:val="0"/>
          <w:numId w:val="23"/>
        </w:numPr>
        <w:spacing w:before="0" w:beforeAutospacing="0" w:after="0"/>
        <w:jc w:val="both"/>
      </w:pPr>
      <w:r>
        <w:t>Audition éventuelle du candidat par l’Ambassade de France.</w:t>
      </w:r>
    </w:p>
    <w:p w14:paraId="2154C2C8" w14:textId="77777777" w:rsidR="005177B9" w:rsidRDefault="005177B9" w:rsidP="00BF6E1D">
      <w:pPr>
        <w:pStyle w:val="NormalWeb"/>
        <w:numPr>
          <w:ilvl w:val="0"/>
          <w:numId w:val="23"/>
        </w:numPr>
        <w:spacing w:before="0" w:beforeAutospacing="0" w:after="0"/>
        <w:jc w:val="both"/>
      </w:pPr>
      <w:r>
        <w:t xml:space="preserve">Les étudiants sélectionnés seront informés par courriel </w:t>
      </w:r>
      <w:r w:rsidR="007A34BE">
        <w:t>conjoint de l’Ambassade de France et de l’établissement libanais</w:t>
      </w:r>
      <w:r w:rsidR="00BF6E1D">
        <w:t xml:space="preserve"> partenaire</w:t>
      </w:r>
      <w:r w:rsidR="007A34BE">
        <w:t>.</w:t>
      </w:r>
    </w:p>
    <w:p w14:paraId="0AB5B946" w14:textId="19F83161" w:rsidR="00BF6E1D" w:rsidRDefault="3456FB5F" w:rsidP="3456FB5F">
      <w:pPr>
        <w:pStyle w:val="NormalWeb"/>
        <w:numPr>
          <w:ilvl w:val="0"/>
          <w:numId w:val="23"/>
        </w:numPr>
        <w:spacing w:before="0" w:beforeAutospacing="0" w:after="0"/>
        <w:jc w:val="both"/>
      </w:pPr>
      <w:r>
        <w:t>L’Ambassade de France transmettra aux étudiants sélectionnés le formulaire de bourse à compléter et renvoyer à l’Ambassade, au plus tard 4 semaines avant le départ en France.</w:t>
      </w:r>
    </w:p>
    <w:p w14:paraId="5630AD66" w14:textId="77777777" w:rsidR="003B5BB3" w:rsidRDefault="003B5BB3" w:rsidP="009B3064">
      <w:pPr>
        <w:pStyle w:val="NormalWeb"/>
        <w:spacing w:before="0" w:beforeAutospacing="0" w:after="0"/>
        <w:jc w:val="both"/>
      </w:pPr>
    </w:p>
    <w:p w14:paraId="61829076" w14:textId="77777777" w:rsidR="002F2BD6" w:rsidRDefault="002F2BD6" w:rsidP="009B3064">
      <w:pPr>
        <w:pStyle w:val="NormalWeb"/>
        <w:spacing w:before="0" w:beforeAutospacing="0" w:after="0"/>
        <w:jc w:val="both"/>
      </w:pPr>
    </w:p>
    <w:p w14:paraId="2BA226A1" w14:textId="77777777" w:rsidR="002F2BD6" w:rsidRDefault="002F2BD6" w:rsidP="002F2BD6">
      <w:pPr>
        <w:pStyle w:val="NormalWeb"/>
        <w:pBdr>
          <w:top w:val="single" w:sz="4" w:space="1" w:color="auto"/>
          <w:left w:val="single" w:sz="4" w:space="4" w:color="auto"/>
          <w:bottom w:val="single" w:sz="4" w:space="1" w:color="auto"/>
          <w:right w:val="single" w:sz="4" w:space="4" w:color="auto"/>
        </w:pBdr>
        <w:spacing w:before="0" w:beforeAutospacing="0" w:after="0"/>
        <w:jc w:val="both"/>
        <w:rPr>
          <w:b/>
        </w:rPr>
      </w:pPr>
    </w:p>
    <w:p w14:paraId="35624027" w14:textId="77777777" w:rsidR="002F2BD6" w:rsidRDefault="002F2BD6" w:rsidP="00E379FB">
      <w:pPr>
        <w:pStyle w:val="NormalWeb"/>
        <w:pBdr>
          <w:top w:val="single" w:sz="4" w:space="1" w:color="auto"/>
          <w:left w:val="single" w:sz="4" w:space="4" w:color="auto"/>
          <w:bottom w:val="single" w:sz="4" w:space="1" w:color="auto"/>
          <w:right w:val="single" w:sz="4" w:space="4" w:color="auto"/>
        </w:pBdr>
        <w:spacing w:before="0" w:beforeAutospacing="0" w:after="0"/>
        <w:jc w:val="center"/>
        <w:rPr>
          <w:b/>
        </w:rPr>
      </w:pPr>
      <w:r w:rsidRPr="002F2BD6">
        <w:rPr>
          <w:b/>
        </w:rPr>
        <w:t>Procédure Campus France </w:t>
      </w:r>
      <w:r>
        <w:rPr>
          <w:b/>
        </w:rPr>
        <w:t>pour les candidats</w:t>
      </w:r>
    </w:p>
    <w:p w14:paraId="17AD93B2" w14:textId="77777777" w:rsidR="002F2BD6" w:rsidRDefault="002F2BD6" w:rsidP="00E379FB">
      <w:pPr>
        <w:pStyle w:val="NormalWeb"/>
        <w:pBdr>
          <w:top w:val="single" w:sz="4" w:space="1" w:color="auto"/>
          <w:left w:val="single" w:sz="4" w:space="4" w:color="auto"/>
          <w:bottom w:val="single" w:sz="4" w:space="1" w:color="auto"/>
          <w:right w:val="single" w:sz="4" w:space="4" w:color="auto"/>
        </w:pBdr>
        <w:spacing w:before="0" w:beforeAutospacing="0" w:after="0"/>
        <w:jc w:val="center"/>
        <w:rPr>
          <w:b/>
        </w:rPr>
      </w:pPr>
    </w:p>
    <w:p w14:paraId="6840D0D2" w14:textId="77777777" w:rsidR="002F2BD6" w:rsidRPr="002F2BD6" w:rsidRDefault="002F2BD6" w:rsidP="002F2BD6">
      <w:pPr>
        <w:pStyle w:val="NormalWeb"/>
        <w:pBdr>
          <w:top w:val="single" w:sz="4" w:space="1" w:color="auto"/>
          <w:left w:val="single" w:sz="4" w:space="4" w:color="auto"/>
          <w:bottom w:val="single" w:sz="4" w:space="1" w:color="auto"/>
          <w:right w:val="single" w:sz="4" w:space="4" w:color="auto"/>
        </w:pBdr>
        <w:spacing w:before="0" w:beforeAutospacing="0" w:after="0"/>
        <w:jc w:val="both"/>
        <w:rPr>
          <w:u w:val="single"/>
        </w:rPr>
      </w:pPr>
      <w:r w:rsidRPr="002F2BD6">
        <w:rPr>
          <w:u w:val="single"/>
        </w:rPr>
        <w:t>Pour les étudiants du cas n°1 :</w:t>
      </w:r>
    </w:p>
    <w:p w14:paraId="378711C6" w14:textId="56D0A1A5" w:rsidR="002F2BD6" w:rsidRPr="00E40167" w:rsidRDefault="3456FB5F" w:rsidP="3456FB5F">
      <w:pPr>
        <w:pStyle w:val="NormalWeb"/>
        <w:pBdr>
          <w:top w:val="single" w:sz="4" w:space="1" w:color="auto"/>
          <w:left w:val="single" w:sz="4" w:space="4" w:color="auto"/>
          <w:bottom w:val="single" w:sz="4" w:space="1" w:color="auto"/>
          <w:right w:val="single" w:sz="4" w:space="4" w:color="auto"/>
        </w:pBdr>
        <w:spacing w:before="0" w:beforeAutospacing="0" w:after="0"/>
        <w:jc w:val="both"/>
      </w:pPr>
      <w:r w:rsidRPr="00E40167">
        <w:t>Les candidats doivent postuler en concertation et avec le soutien de leur établissement d'origine directement auprès de l’établissement français pour obtenir leur préinscription. Ils devront ensuite effectuer la procédure pré-consulaire via l’Espace Campus France Beyrouth mais seront exonérés des frais.</w:t>
      </w:r>
    </w:p>
    <w:p w14:paraId="0DE4B5B7" w14:textId="77777777" w:rsidR="008F676E" w:rsidRDefault="008F676E" w:rsidP="3456FB5F">
      <w:pPr>
        <w:pStyle w:val="NormalWeb"/>
        <w:pBdr>
          <w:top w:val="single" w:sz="4" w:space="1" w:color="auto"/>
          <w:left w:val="single" w:sz="4" w:space="4" w:color="auto"/>
          <w:bottom w:val="single" w:sz="4" w:space="1" w:color="auto"/>
          <w:right w:val="single" w:sz="4" w:space="4" w:color="auto"/>
        </w:pBdr>
        <w:spacing w:before="0" w:beforeAutospacing="0" w:after="0"/>
        <w:jc w:val="both"/>
        <w:rPr>
          <w:highlight w:val="yellow"/>
        </w:rPr>
      </w:pPr>
    </w:p>
    <w:p w14:paraId="5B111885" w14:textId="77777777" w:rsidR="00E379FB" w:rsidRDefault="00E379FB" w:rsidP="00E379FB">
      <w:pPr>
        <w:pStyle w:val="NormalWeb"/>
        <w:pBdr>
          <w:top w:val="single" w:sz="4" w:space="1" w:color="auto"/>
          <w:left w:val="single" w:sz="4" w:space="4" w:color="auto"/>
          <w:bottom w:val="single" w:sz="4" w:space="1" w:color="auto"/>
          <w:right w:val="single" w:sz="4" w:space="4" w:color="auto"/>
        </w:pBdr>
        <w:spacing w:before="0" w:beforeAutospacing="0" w:after="0"/>
        <w:jc w:val="both"/>
        <w:rPr>
          <w:u w:val="single"/>
        </w:rPr>
      </w:pPr>
      <w:r w:rsidRPr="002F2BD6">
        <w:rPr>
          <w:u w:val="single"/>
        </w:rPr>
        <w:t>Pour l</w:t>
      </w:r>
      <w:r w:rsidR="00056A65">
        <w:rPr>
          <w:u w:val="single"/>
        </w:rPr>
        <w:t>es étudiants relevant du cas n°2</w:t>
      </w:r>
      <w:r w:rsidRPr="002F2BD6">
        <w:rPr>
          <w:u w:val="single"/>
        </w:rPr>
        <w:t> :</w:t>
      </w:r>
    </w:p>
    <w:p w14:paraId="44B9F056" w14:textId="6691963A" w:rsidR="00124DB1" w:rsidRPr="00124DB1" w:rsidRDefault="00124DB1" w:rsidP="00124DB1">
      <w:pPr>
        <w:pStyle w:val="NormalWeb"/>
        <w:pBdr>
          <w:top w:val="single" w:sz="4" w:space="1" w:color="auto"/>
          <w:left w:val="single" w:sz="4" w:space="4" w:color="auto"/>
          <w:bottom w:val="single" w:sz="4" w:space="1" w:color="auto"/>
          <w:right w:val="single" w:sz="4" w:space="4" w:color="auto"/>
        </w:pBdr>
        <w:spacing w:after="0"/>
        <w:jc w:val="both"/>
      </w:pPr>
      <w:r>
        <w:t xml:space="preserve">1. </w:t>
      </w:r>
      <w:r w:rsidRPr="00124DB1">
        <w:t>Les candidats ont postulé auprès d’un établissement français via la procédure Etudes en France avant le 31 décembre 2021 et se sont acquittés des frais de validation (pas de possibilité de remboursement).</w:t>
      </w:r>
    </w:p>
    <w:p w14:paraId="131D7076" w14:textId="14E1896B" w:rsidR="00124DB1" w:rsidRPr="00124DB1" w:rsidRDefault="00124DB1" w:rsidP="00124DB1">
      <w:pPr>
        <w:pStyle w:val="NormalWeb"/>
        <w:pBdr>
          <w:top w:val="single" w:sz="4" w:space="1" w:color="auto"/>
          <w:left w:val="single" w:sz="4" w:space="4" w:color="auto"/>
          <w:bottom w:val="single" w:sz="4" w:space="1" w:color="auto"/>
          <w:right w:val="single" w:sz="4" w:space="4" w:color="auto"/>
        </w:pBdr>
        <w:spacing w:before="0" w:beforeAutospacing="0" w:after="0"/>
        <w:jc w:val="both"/>
      </w:pPr>
      <w:r>
        <w:t xml:space="preserve">2. </w:t>
      </w:r>
      <w:r w:rsidRPr="00124DB1">
        <w:t>Les candidats ayant effectué une pré-inscription directement auprès de l'établissement français devront effectuer la procédure pré-consulaire via l’Espace Campus France Beyrouth mais seront exonérés des frais.</w:t>
      </w:r>
    </w:p>
    <w:p w14:paraId="6B62F1B3" w14:textId="77777777" w:rsidR="003B5BB3" w:rsidRDefault="003B5BB3" w:rsidP="009B3064">
      <w:pPr>
        <w:pStyle w:val="NormalWeb"/>
        <w:spacing w:before="0" w:beforeAutospacing="0" w:after="0"/>
        <w:jc w:val="both"/>
      </w:pPr>
    </w:p>
    <w:p w14:paraId="02F2C34E" w14:textId="77777777" w:rsidR="00A36B6B" w:rsidRDefault="00A36B6B" w:rsidP="009B3064">
      <w:pPr>
        <w:pStyle w:val="NormalWeb"/>
        <w:pBdr>
          <w:top w:val="single" w:sz="4" w:space="1" w:color="auto"/>
          <w:left w:val="single" w:sz="4" w:space="4" w:color="auto"/>
          <w:bottom w:val="single" w:sz="4" w:space="1" w:color="auto"/>
          <w:right w:val="single" w:sz="4" w:space="4" w:color="auto"/>
        </w:pBdr>
        <w:spacing w:before="0" w:beforeAutospacing="0" w:after="0"/>
        <w:jc w:val="both"/>
      </w:pPr>
    </w:p>
    <w:p w14:paraId="086D733D" w14:textId="2541B49A" w:rsidR="007A34BE" w:rsidRDefault="3456FB5F" w:rsidP="3456FB5F">
      <w:pPr>
        <w:pStyle w:val="NormalWeb"/>
        <w:pBdr>
          <w:top w:val="single" w:sz="4" w:space="1" w:color="auto"/>
          <w:left w:val="single" w:sz="4" w:space="4" w:color="auto"/>
          <w:bottom w:val="single" w:sz="4" w:space="1" w:color="auto"/>
          <w:right w:val="single" w:sz="4" w:space="4" w:color="auto"/>
        </w:pBdr>
        <w:spacing w:before="0" w:beforeAutospacing="0" w:after="0"/>
        <w:jc w:val="both"/>
        <w:rPr>
          <w:b/>
          <w:bCs/>
          <w:u w:val="single"/>
        </w:rPr>
      </w:pPr>
      <w:r w:rsidRPr="3456FB5F">
        <w:rPr>
          <w:b/>
          <w:bCs/>
          <w:u w:val="single"/>
        </w:rPr>
        <w:t>L’octroi de la bourse est conditionné à la réussite de l’année d’études en cours, l’inscription et l’admission définitive dans l'établissement français et à l’accord du consulat pour la délivrance du visa.</w:t>
      </w:r>
    </w:p>
    <w:p w14:paraId="680A4E5D" w14:textId="77777777" w:rsidR="00EB3DC4" w:rsidRDefault="00EB3DC4" w:rsidP="009B3064">
      <w:pPr>
        <w:pStyle w:val="NormalWeb"/>
        <w:pBdr>
          <w:top w:val="single" w:sz="4" w:space="1" w:color="auto"/>
          <w:left w:val="single" w:sz="4" w:space="4" w:color="auto"/>
          <w:bottom w:val="single" w:sz="4" w:space="1" w:color="auto"/>
          <w:right w:val="single" w:sz="4" w:space="4" w:color="auto"/>
        </w:pBdr>
        <w:spacing w:before="0" w:beforeAutospacing="0" w:after="0"/>
        <w:jc w:val="both"/>
      </w:pPr>
    </w:p>
    <w:p w14:paraId="073D7E86" w14:textId="77777777" w:rsidR="00EB3DC4" w:rsidRDefault="00A36B6B" w:rsidP="009B3064">
      <w:pPr>
        <w:pStyle w:val="NormalWeb"/>
        <w:pBdr>
          <w:top w:val="single" w:sz="4" w:space="1" w:color="auto"/>
          <w:left w:val="single" w:sz="4" w:space="4" w:color="auto"/>
          <w:bottom w:val="single" w:sz="4" w:space="1" w:color="auto"/>
          <w:right w:val="single" w:sz="4" w:space="4" w:color="auto"/>
        </w:pBdr>
        <w:spacing w:before="0" w:beforeAutospacing="0" w:after="0"/>
        <w:jc w:val="both"/>
      </w:pPr>
      <w:r>
        <w:t>Les candidats sélectionnés</w:t>
      </w:r>
      <w:r w:rsidR="00EB3DC4">
        <w:t xml:space="preserve"> seront exonérés de</w:t>
      </w:r>
      <w:r>
        <w:t>s</w:t>
      </w:r>
      <w:r w:rsidR="00EB3DC4">
        <w:t xml:space="preserve"> frais de visa. </w:t>
      </w:r>
    </w:p>
    <w:p w14:paraId="19219836" w14:textId="77777777" w:rsidR="00A36B6B" w:rsidRDefault="00A36B6B" w:rsidP="009B3064">
      <w:pPr>
        <w:pStyle w:val="NormalWeb"/>
        <w:pBdr>
          <w:top w:val="single" w:sz="4" w:space="1" w:color="auto"/>
          <w:left w:val="single" w:sz="4" w:space="4" w:color="auto"/>
          <w:bottom w:val="single" w:sz="4" w:space="1" w:color="auto"/>
          <w:right w:val="single" w:sz="4" w:space="4" w:color="auto"/>
        </w:pBdr>
        <w:spacing w:before="0" w:beforeAutospacing="0" w:after="0"/>
        <w:jc w:val="both"/>
      </w:pPr>
    </w:p>
    <w:p w14:paraId="74552AAD" w14:textId="77777777" w:rsidR="00EB3DC4" w:rsidRDefault="00EB3DC4" w:rsidP="009B3064">
      <w:pPr>
        <w:pStyle w:val="NormalWeb"/>
        <w:pBdr>
          <w:top w:val="single" w:sz="4" w:space="1" w:color="auto"/>
          <w:left w:val="single" w:sz="4" w:space="4" w:color="auto"/>
          <w:bottom w:val="single" w:sz="4" w:space="1" w:color="auto"/>
          <w:right w:val="single" w:sz="4" w:space="4" w:color="auto"/>
        </w:pBdr>
        <w:spacing w:before="0" w:beforeAutospacing="0" w:after="0"/>
        <w:jc w:val="both"/>
      </w:pPr>
      <w:r>
        <w:t xml:space="preserve">Les visas délivrés seront des visas pour études, y compris pour les stages (inscription </w:t>
      </w:r>
      <w:r w:rsidR="00A36B6B">
        <w:t>obligatoire dans un établissement d’enseignement supérieur français</w:t>
      </w:r>
      <w:r w:rsidR="00A15A14">
        <w:t>).</w:t>
      </w:r>
    </w:p>
    <w:p w14:paraId="296FEF7D" w14:textId="77777777" w:rsidR="00A36B6B" w:rsidRDefault="00A36B6B" w:rsidP="009B3064">
      <w:pPr>
        <w:pStyle w:val="NormalWeb"/>
        <w:pBdr>
          <w:top w:val="single" w:sz="4" w:space="1" w:color="auto"/>
          <w:left w:val="single" w:sz="4" w:space="4" w:color="auto"/>
          <w:bottom w:val="single" w:sz="4" w:space="1" w:color="auto"/>
          <w:right w:val="single" w:sz="4" w:space="4" w:color="auto"/>
        </w:pBdr>
        <w:spacing w:before="0" w:beforeAutospacing="0" w:after="0"/>
        <w:jc w:val="both"/>
      </w:pPr>
    </w:p>
    <w:p w14:paraId="769D0D3C" w14:textId="77777777" w:rsidR="001B46AD" w:rsidRDefault="001B46AD" w:rsidP="00124DB1">
      <w:pPr>
        <w:spacing w:after="0" w:line="240" w:lineRule="auto"/>
        <w:rPr>
          <w:rFonts w:ascii="Times New Roman" w:eastAsia="Times New Roman" w:hAnsi="Times New Roman" w:cs="Times New Roman"/>
          <w:bCs/>
          <w:i/>
          <w:color w:val="000000"/>
          <w:sz w:val="20"/>
          <w:szCs w:val="20"/>
          <w:u w:val="single"/>
          <w:lang w:eastAsia="fr-FR"/>
        </w:rPr>
      </w:pPr>
    </w:p>
    <w:p w14:paraId="54CD245A" w14:textId="5A665A11" w:rsidR="00370818" w:rsidRPr="00124DB1" w:rsidRDefault="00370818" w:rsidP="00124DB1">
      <w:pPr>
        <w:spacing w:after="0" w:line="240" w:lineRule="auto"/>
        <w:jc w:val="center"/>
        <w:rPr>
          <w:rFonts w:ascii="Times New Roman" w:eastAsia="Times New Roman" w:hAnsi="Times New Roman" w:cs="Times New Roman"/>
          <w:b/>
          <w:sz w:val="24"/>
          <w:szCs w:val="24"/>
          <w:lang w:eastAsia="fr-FR"/>
        </w:rPr>
      </w:pPr>
      <w:r w:rsidRPr="000E0752">
        <w:rPr>
          <w:rFonts w:ascii="Times New Roman" w:eastAsia="Times New Roman" w:hAnsi="Times New Roman" w:cs="Times New Roman"/>
          <w:b/>
          <w:sz w:val="24"/>
          <w:szCs w:val="24"/>
          <w:lang w:eastAsia="fr-FR"/>
        </w:rPr>
        <w:t>_______________________</w:t>
      </w:r>
    </w:p>
    <w:sectPr w:rsidR="00370818" w:rsidRPr="00124DB1" w:rsidSect="00B43BFD">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47E7F" w14:textId="77777777" w:rsidR="00B86A71" w:rsidRDefault="00B86A71" w:rsidP="00173515">
      <w:pPr>
        <w:spacing w:after="0" w:line="240" w:lineRule="auto"/>
      </w:pPr>
      <w:r>
        <w:separator/>
      </w:r>
    </w:p>
  </w:endnote>
  <w:endnote w:type="continuationSeparator" w:id="0">
    <w:p w14:paraId="7104996C" w14:textId="77777777" w:rsidR="00B86A71" w:rsidRDefault="00B86A71" w:rsidP="00173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529020745"/>
      <w:docPartObj>
        <w:docPartGallery w:val="Page Numbers (Bottom of Page)"/>
        <w:docPartUnique/>
      </w:docPartObj>
    </w:sdtPr>
    <w:sdtEndPr/>
    <w:sdtContent>
      <w:sdt>
        <w:sdtPr>
          <w:rPr>
            <w:rFonts w:ascii="Times New Roman" w:hAnsi="Times New Roman" w:cs="Times New Roman"/>
            <w:sz w:val="24"/>
            <w:szCs w:val="24"/>
          </w:rPr>
          <w:id w:val="860082579"/>
          <w:docPartObj>
            <w:docPartGallery w:val="Page Numbers (Top of Page)"/>
            <w:docPartUnique/>
          </w:docPartObj>
        </w:sdtPr>
        <w:sdtEndPr/>
        <w:sdtContent>
          <w:p w14:paraId="7323EF53" w14:textId="77777777" w:rsidR="005B48DC" w:rsidRPr="00124DB1" w:rsidRDefault="005B48DC">
            <w:pPr>
              <w:pStyle w:val="Footer"/>
              <w:jc w:val="right"/>
              <w:rPr>
                <w:rFonts w:ascii="Times New Roman" w:hAnsi="Times New Roman" w:cs="Times New Roman"/>
                <w:sz w:val="24"/>
                <w:szCs w:val="24"/>
              </w:rPr>
            </w:pPr>
            <w:r w:rsidRPr="00124DB1">
              <w:rPr>
                <w:rFonts w:ascii="Times New Roman" w:hAnsi="Times New Roman" w:cs="Times New Roman"/>
                <w:sz w:val="24"/>
                <w:szCs w:val="24"/>
              </w:rPr>
              <w:t xml:space="preserve">Page </w:t>
            </w:r>
            <w:r w:rsidRPr="00124DB1">
              <w:rPr>
                <w:rFonts w:ascii="Times New Roman" w:hAnsi="Times New Roman" w:cs="Times New Roman"/>
                <w:b/>
                <w:bCs/>
                <w:sz w:val="24"/>
                <w:szCs w:val="24"/>
              </w:rPr>
              <w:fldChar w:fldCharType="begin"/>
            </w:r>
            <w:r w:rsidRPr="00124DB1">
              <w:rPr>
                <w:rFonts w:ascii="Times New Roman" w:hAnsi="Times New Roman" w:cs="Times New Roman"/>
                <w:b/>
                <w:bCs/>
                <w:sz w:val="24"/>
                <w:szCs w:val="24"/>
              </w:rPr>
              <w:instrText>PAGE</w:instrText>
            </w:r>
            <w:r w:rsidRPr="00124DB1">
              <w:rPr>
                <w:rFonts w:ascii="Times New Roman" w:hAnsi="Times New Roman" w:cs="Times New Roman"/>
                <w:b/>
                <w:bCs/>
                <w:sz w:val="24"/>
                <w:szCs w:val="24"/>
              </w:rPr>
              <w:fldChar w:fldCharType="separate"/>
            </w:r>
            <w:r w:rsidR="00990DF2">
              <w:rPr>
                <w:rFonts w:ascii="Times New Roman" w:hAnsi="Times New Roman" w:cs="Times New Roman"/>
                <w:b/>
                <w:bCs/>
                <w:noProof/>
                <w:sz w:val="24"/>
                <w:szCs w:val="24"/>
              </w:rPr>
              <w:t>4</w:t>
            </w:r>
            <w:r w:rsidRPr="00124DB1">
              <w:rPr>
                <w:rFonts w:ascii="Times New Roman" w:hAnsi="Times New Roman" w:cs="Times New Roman"/>
                <w:b/>
                <w:bCs/>
                <w:sz w:val="24"/>
                <w:szCs w:val="24"/>
              </w:rPr>
              <w:fldChar w:fldCharType="end"/>
            </w:r>
            <w:r w:rsidRPr="00124DB1">
              <w:rPr>
                <w:rFonts w:ascii="Times New Roman" w:hAnsi="Times New Roman" w:cs="Times New Roman"/>
                <w:sz w:val="24"/>
                <w:szCs w:val="24"/>
              </w:rPr>
              <w:t xml:space="preserve"> sur </w:t>
            </w:r>
            <w:r w:rsidRPr="00124DB1">
              <w:rPr>
                <w:rFonts w:ascii="Times New Roman" w:hAnsi="Times New Roman" w:cs="Times New Roman"/>
                <w:b/>
                <w:bCs/>
                <w:sz w:val="24"/>
                <w:szCs w:val="24"/>
              </w:rPr>
              <w:fldChar w:fldCharType="begin"/>
            </w:r>
            <w:r w:rsidRPr="00124DB1">
              <w:rPr>
                <w:rFonts w:ascii="Times New Roman" w:hAnsi="Times New Roman" w:cs="Times New Roman"/>
                <w:b/>
                <w:bCs/>
                <w:sz w:val="24"/>
                <w:szCs w:val="24"/>
              </w:rPr>
              <w:instrText>NUMPAGES</w:instrText>
            </w:r>
            <w:r w:rsidRPr="00124DB1">
              <w:rPr>
                <w:rFonts w:ascii="Times New Roman" w:hAnsi="Times New Roman" w:cs="Times New Roman"/>
                <w:b/>
                <w:bCs/>
                <w:sz w:val="24"/>
                <w:szCs w:val="24"/>
              </w:rPr>
              <w:fldChar w:fldCharType="separate"/>
            </w:r>
            <w:r w:rsidR="00990DF2">
              <w:rPr>
                <w:rFonts w:ascii="Times New Roman" w:hAnsi="Times New Roman" w:cs="Times New Roman"/>
                <w:b/>
                <w:bCs/>
                <w:noProof/>
                <w:sz w:val="24"/>
                <w:szCs w:val="24"/>
              </w:rPr>
              <w:t>4</w:t>
            </w:r>
            <w:r w:rsidRPr="00124DB1">
              <w:rPr>
                <w:rFonts w:ascii="Times New Roman" w:hAnsi="Times New Roman" w:cs="Times New Roman"/>
                <w:b/>
                <w:bCs/>
                <w:sz w:val="24"/>
                <w:szCs w:val="24"/>
              </w:rPr>
              <w:fldChar w:fldCharType="end"/>
            </w:r>
          </w:p>
        </w:sdtContent>
      </w:sdt>
    </w:sdtContent>
  </w:sdt>
  <w:p w14:paraId="34FF1C98" w14:textId="77777777" w:rsidR="00B43BFD" w:rsidRDefault="00B43B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DCD96" w14:textId="77777777" w:rsidR="00B86A71" w:rsidRDefault="00B86A71" w:rsidP="00173515">
      <w:pPr>
        <w:spacing w:after="0" w:line="240" w:lineRule="auto"/>
      </w:pPr>
      <w:r>
        <w:separator/>
      </w:r>
    </w:p>
  </w:footnote>
  <w:footnote w:type="continuationSeparator" w:id="0">
    <w:p w14:paraId="41AF8B1E" w14:textId="77777777" w:rsidR="00B86A71" w:rsidRDefault="00B86A71" w:rsidP="001735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1A89"/>
    <w:multiLevelType w:val="hybridMultilevel"/>
    <w:tmpl w:val="77BAA6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6E260A"/>
    <w:multiLevelType w:val="hybridMultilevel"/>
    <w:tmpl w:val="F56E2B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23641B"/>
    <w:multiLevelType w:val="hybridMultilevel"/>
    <w:tmpl w:val="6810AC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0443FE"/>
    <w:multiLevelType w:val="hybridMultilevel"/>
    <w:tmpl w:val="4774B69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 w15:restartNumberingAfterBreak="0">
    <w:nsid w:val="133746A6"/>
    <w:multiLevelType w:val="multilevel"/>
    <w:tmpl w:val="15D87060"/>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E022B0"/>
    <w:multiLevelType w:val="hybridMultilevel"/>
    <w:tmpl w:val="F83A90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8A2955"/>
    <w:multiLevelType w:val="hybridMultilevel"/>
    <w:tmpl w:val="400694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6741A92"/>
    <w:multiLevelType w:val="hybridMultilevel"/>
    <w:tmpl w:val="87BE0B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96D2E08"/>
    <w:multiLevelType w:val="hybridMultilevel"/>
    <w:tmpl w:val="504005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D351FC"/>
    <w:multiLevelType w:val="hybridMultilevel"/>
    <w:tmpl w:val="F48C2258"/>
    <w:lvl w:ilvl="0" w:tplc="FFAAAED4">
      <w:start w:val="1"/>
      <w:numFmt w:val="bullet"/>
      <w:lvlText w:val=""/>
      <w:lvlJc w:val="left"/>
      <w:pPr>
        <w:ind w:left="720" w:hanging="360"/>
      </w:pPr>
      <w:rPr>
        <w:rFonts w:ascii="Symbol" w:hAnsi="Symbol" w:hint="default"/>
      </w:rPr>
    </w:lvl>
    <w:lvl w:ilvl="1" w:tplc="9FBEB206">
      <w:start w:val="1"/>
      <w:numFmt w:val="bullet"/>
      <w:lvlText w:val="o"/>
      <w:lvlJc w:val="left"/>
      <w:pPr>
        <w:ind w:left="1440" w:hanging="360"/>
      </w:pPr>
      <w:rPr>
        <w:rFonts w:ascii="Courier New" w:hAnsi="Courier New" w:hint="default"/>
      </w:rPr>
    </w:lvl>
    <w:lvl w:ilvl="2" w:tplc="19449EBC">
      <w:start w:val="1"/>
      <w:numFmt w:val="bullet"/>
      <w:lvlText w:val=""/>
      <w:lvlJc w:val="left"/>
      <w:pPr>
        <w:ind w:left="2160" w:hanging="360"/>
      </w:pPr>
      <w:rPr>
        <w:rFonts w:ascii="Wingdings" w:hAnsi="Wingdings" w:hint="default"/>
      </w:rPr>
    </w:lvl>
    <w:lvl w:ilvl="3" w:tplc="1952A77C">
      <w:start w:val="1"/>
      <w:numFmt w:val="bullet"/>
      <w:lvlText w:val=""/>
      <w:lvlJc w:val="left"/>
      <w:pPr>
        <w:ind w:left="2880" w:hanging="360"/>
      </w:pPr>
      <w:rPr>
        <w:rFonts w:ascii="Symbol" w:hAnsi="Symbol" w:hint="default"/>
      </w:rPr>
    </w:lvl>
    <w:lvl w:ilvl="4" w:tplc="B6348C8A">
      <w:start w:val="1"/>
      <w:numFmt w:val="bullet"/>
      <w:lvlText w:val="o"/>
      <w:lvlJc w:val="left"/>
      <w:pPr>
        <w:ind w:left="3600" w:hanging="360"/>
      </w:pPr>
      <w:rPr>
        <w:rFonts w:ascii="Courier New" w:hAnsi="Courier New" w:hint="default"/>
      </w:rPr>
    </w:lvl>
    <w:lvl w:ilvl="5" w:tplc="0A1A041C">
      <w:start w:val="1"/>
      <w:numFmt w:val="bullet"/>
      <w:lvlText w:val=""/>
      <w:lvlJc w:val="left"/>
      <w:pPr>
        <w:ind w:left="4320" w:hanging="360"/>
      </w:pPr>
      <w:rPr>
        <w:rFonts w:ascii="Wingdings" w:hAnsi="Wingdings" w:hint="default"/>
      </w:rPr>
    </w:lvl>
    <w:lvl w:ilvl="6" w:tplc="1506F876">
      <w:start w:val="1"/>
      <w:numFmt w:val="bullet"/>
      <w:lvlText w:val=""/>
      <w:lvlJc w:val="left"/>
      <w:pPr>
        <w:ind w:left="5040" w:hanging="360"/>
      </w:pPr>
      <w:rPr>
        <w:rFonts w:ascii="Symbol" w:hAnsi="Symbol" w:hint="default"/>
      </w:rPr>
    </w:lvl>
    <w:lvl w:ilvl="7" w:tplc="687CF29E">
      <w:start w:val="1"/>
      <w:numFmt w:val="bullet"/>
      <w:lvlText w:val="o"/>
      <w:lvlJc w:val="left"/>
      <w:pPr>
        <w:ind w:left="5760" w:hanging="360"/>
      </w:pPr>
      <w:rPr>
        <w:rFonts w:ascii="Courier New" w:hAnsi="Courier New" w:hint="default"/>
      </w:rPr>
    </w:lvl>
    <w:lvl w:ilvl="8" w:tplc="20A49628">
      <w:start w:val="1"/>
      <w:numFmt w:val="bullet"/>
      <w:lvlText w:val=""/>
      <w:lvlJc w:val="left"/>
      <w:pPr>
        <w:ind w:left="6480" w:hanging="360"/>
      </w:pPr>
      <w:rPr>
        <w:rFonts w:ascii="Wingdings" w:hAnsi="Wingdings" w:hint="default"/>
      </w:rPr>
    </w:lvl>
  </w:abstractNum>
  <w:abstractNum w:abstractNumId="10" w15:restartNumberingAfterBreak="0">
    <w:nsid w:val="20A93DB7"/>
    <w:multiLevelType w:val="multilevel"/>
    <w:tmpl w:val="B1EA12A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8C7A4D"/>
    <w:multiLevelType w:val="hybridMultilevel"/>
    <w:tmpl w:val="670EE6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A900D8E"/>
    <w:multiLevelType w:val="hybridMultilevel"/>
    <w:tmpl w:val="FFA05C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3D9583B"/>
    <w:multiLevelType w:val="hybridMultilevel"/>
    <w:tmpl w:val="45C4BB62"/>
    <w:lvl w:ilvl="0" w:tplc="3AEAAE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4722687"/>
    <w:multiLevelType w:val="multilevel"/>
    <w:tmpl w:val="6D002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6974A6"/>
    <w:multiLevelType w:val="multilevel"/>
    <w:tmpl w:val="B4E2D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FE434D"/>
    <w:multiLevelType w:val="hybridMultilevel"/>
    <w:tmpl w:val="317E1F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8914395"/>
    <w:multiLevelType w:val="multilevel"/>
    <w:tmpl w:val="DA265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A960BD"/>
    <w:multiLevelType w:val="multilevel"/>
    <w:tmpl w:val="DA022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2D131C"/>
    <w:multiLevelType w:val="hybridMultilevel"/>
    <w:tmpl w:val="BD1C5A3E"/>
    <w:lvl w:ilvl="0" w:tplc="484A914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C86723C"/>
    <w:multiLevelType w:val="hybridMultilevel"/>
    <w:tmpl w:val="6F9E8A70"/>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E9D2E3E"/>
    <w:multiLevelType w:val="multilevel"/>
    <w:tmpl w:val="896EE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96504F"/>
    <w:multiLevelType w:val="multilevel"/>
    <w:tmpl w:val="6422F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EB32CC"/>
    <w:multiLevelType w:val="hybridMultilevel"/>
    <w:tmpl w:val="308CC918"/>
    <w:lvl w:ilvl="0" w:tplc="4348A73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0E577DF"/>
    <w:multiLevelType w:val="hybridMultilevel"/>
    <w:tmpl w:val="91D406FA"/>
    <w:lvl w:ilvl="0" w:tplc="CD8CFE4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B3F223B"/>
    <w:multiLevelType w:val="hybridMultilevel"/>
    <w:tmpl w:val="CB645C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16A3972"/>
    <w:multiLevelType w:val="hybridMultilevel"/>
    <w:tmpl w:val="39A24E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40071B7"/>
    <w:multiLevelType w:val="multilevel"/>
    <w:tmpl w:val="AA46D90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8" w15:restartNumberingAfterBreak="0">
    <w:nsid w:val="7A0A2EBF"/>
    <w:multiLevelType w:val="hybridMultilevel"/>
    <w:tmpl w:val="45C4BB62"/>
    <w:lvl w:ilvl="0" w:tplc="3AEAAE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D394F63"/>
    <w:multiLevelType w:val="hybridMultilevel"/>
    <w:tmpl w:val="8AB25C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27"/>
  </w:num>
  <w:num w:numId="3">
    <w:abstractNumId w:val="29"/>
  </w:num>
  <w:num w:numId="4">
    <w:abstractNumId w:val="17"/>
  </w:num>
  <w:num w:numId="5">
    <w:abstractNumId w:val="7"/>
  </w:num>
  <w:num w:numId="6">
    <w:abstractNumId w:val="20"/>
  </w:num>
  <w:num w:numId="7">
    <w:abstractNumId w:val="14"/>
  </w:num>
  <w:num w:numId="8">
    <w:abstractNumId w:val="21"/>
  </w:num>
  <w:num w:numId="9">
    <w:abstractNumId w:val="18"/>
  </w:num>
  <w:num w:numId="10">
    <w:abstractNumId w:val="10"/>
  </w:num>
  <w:num w:numId="11">
    <w:abstractNumId w:val="15"/>
  </w:num>
  <w:num w:numId="12">
    <w:abstractNumId w:val="26"/>
  </w:num>
  <w:num w:numId="13">
    <w:abstractNumId w:val="8"/>
  </w:num>
  <w:num w:numId="14">
    <w:abstractNumId w:val="22"/>
  </w:num>
  <w:num w:numId="15">
    <w:abstractNumId w:val="1"/>
  </w:num>
  <w:num w:numId="16">
    <w:abstractNumId w:val="12"/>
  </w:num>
  <w:num w:numId="17">
    <w:abstractNumId w:val="5"/>
  </w:num>
  <w:num w:numId="18">
    <w:abstractNumId w:val="13"/>
  </w:num>
  <w:num w:numId="19">
    <w:abstractNumId w:val="28"/>
  </w:num>
  <w:num w:numId="20">
    <w:abstractNumId w:val="23"/>
  </w:num>
  <w:num w:numId="21">
    <w:abstractNumId w:val="2"/>
  </w:num>
  <w:num w:numId="22">
    <w:abstractNumId w:val="3"/>
  </w:num>
  <w:num w:numId="23">
    <w:abstractNumId w:val="6"/>
  </w:num>
  <w:num w:numId="24">
    <w:abstractNumId w:val="4"/>
  </w:num>
  <w:num w:numId="25">
    <w:abstractNumId w:val="24"/>
  </w:num>
  <w:num w:numId="26">
    <w:abstractNumId w:val="16"/>
  </w:num>
  <w:num w:numId="27">
    <w:abstractNumId w:val="0"/>
  </w:num>
  <w:num w:numId="28">
    <w:abstractNumId w:val="19"/>
  </w:num>
  <w:num w:numId="29">
    <w:abstractNumId w:val="25"/>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A82"/>
    <w:rsid w:val="00001CCF"/>
    <w:rsid w:val="00002A29"/>
    <w:rsid w:val="00024EC0"/>
    <w:rsid w:val="00036A56"/>
    <w:rsid w:val="000411D7"/>
    <w:rsid w:val="00041530"/>
    <w:rsid w:val="00041E0A"/>
    <w:rsid w:val="000556A0"/>
    <w:rsid w:val="00056A65"/>
    <w:rsid w:val="00070F16"/>
    <w:rsid w:val="000936E5"/>
    <w:rsid w:val="000A674E"/>
    <w:rsid w:val="000C1929"/>
    <w:rsid w:val="000C700E"/>
    <w:rsid w:val="000D3DAF"/>
    <w:rsid w:val="000E0752"/>
    <w:rsid w:val="000F6181"/>
    <w:rsid w:val="00115720"/>
    <w:rsid w:val="00117927"/>
    <w:rsid w:val="00117970"/>
    <w:rsid w:val="001219E4"/>
    <w:rsid w:val="00124DB1"/>
    <w:rsid w:val="0015569A"/>
    <w:rsid w:val="0015570F"/>
    <w:rsid w:val="0015645E"/>
    <w:rsid w:val="00160305"/>
    <w:rsid w:val="00162751"/>
    <w:rsid w:val="00170098"/>
    <w:rsid w:val="00173515"/>
    <w:rsid w:val="0019498A"/>
    <w:rsid w:val="00197581"/>
    <w:rsid w:val="001A7253"/>
    <w:rsid w:val="001B46AD"/>
    <w:rsid w:val="001B5136"/>
    <w:rsid w:val="001B5BEA"/>
    <w:rsid w:val="001B5DA7"/>
    <w:rsid w:val="001D1D0C"/>
    <w:rsid w:val="001F1DAA"/>
    <w:rsid w:val="00233F51"/>
    <w:rsid w:val="00235DBE"/>
    <w:rsid w:val="002371CC"/>
    <w:rsid w:val="0024443D"/>
    <w:rsid w:val="0027031C"/>
    <w:rsid w:val="002740E0"/>
    <w:rsid w:val="002837D1"/>
    <w:rsid w:val="00284989"/>
    <w:rsid w:val="002A3203"/>
    <w:rsid w:val="002A392A"/>
    <w:rsid w:val="002B0123"/>
    <w:rsid w:val="002B6981"/>
    <w:rsid w:val="002F2BD6"/>
    <w:rsid w:val="002F43EA"/>
    <w:rsid w:val="002F442B"/>
    <w:rsid w:val="002F44FF"/>
    <w:rsid w:val="002F5DA8"/>
    <w:rsid w:val="002F6BBC"/>
    <w:rsid w:val="00300239"/>
    <w:rsid w:val="003028BA"/>
    <w:rsid w:val="00316A9E"/>
    <w:rsid w:val="00316F12"/>
    <w:rsid w:val="00324571"/>
    <w:rsid w:val="003476F7"/>
    <w:rsid w:val="00353D04"/>
    <w:rsid w:val="00364FB2"/>
    <w:rsid w:val="00370818"/>
    <w:rsid w:val="00373E08"/>
    <w:rsid w:val="00383FF7"/>
    <w:rsid w:val="003855DA"/>
    <w:rsid w:val="00386A43"/>
    <w:rsid w:val="003A494A"/>
    <w:rsid w:val="003B5BB3"/>
    <w:rsid w:val="003D0A2F"/>
    <w:rsid w:val="003D5660"/>
    <w:rsid w:val="003E2A76"/>
    <w:rsid w:val="003E71E1"/>
    <w:rsid w:val="003F24B9"/>
    <w:rsid w:val="004007EF"/>
    <w:rsid w:val="00403450"/>
    <w:rsid w:val="00410480"/>
    <w:rsid w:val="00426DF5"/>
    <w:rsid w:val="00426EC3"/>
    <w:rsid w:val="004328C0"/>
    <w:rsid w:val="00447FCE"/>
    <w:rsid w:val="00450F12"/>
    <w:rsid w:val="00473E20"/>
    <w:rsid w:val="004A1F50"/>
    <w:rsid w:val="004B0494"/>
    <w:rsid w:val="004C1C3B"/>
    <w:rsid w:val="004C56A0"/>
    <w:rsid w:val="004D4249"/>
    <w:rsid w:val="004D6384"/>
    <w:rsid w:val="004D6AD8"/>
    <w:rsid w:val="004E3D06"/>
    <w:rsid w:val="004F7AC4"/>
    <w:rsid w:val="00504D76"/>
    <w:rsid w:val="0050786B"/>
    <w:rsid w:val="005108D2"/>
    <w:rsid w:val="005177B9"/>
    <w:rsid w:val="00523836"/>
    <w:rsid w:val="005242F8"/>
    <w:rsid w:val="005308C7"/>
    <w:rsid w:val="0055464C"/>
    <w:rsid w:val="00556B98"/>
    <w:rsid w:val="0056023C"/>
    <w:rsid w:val="00572D18"/>
    <w:rsid w:val="005741C3"/>
    <w:rsid w:val="0057702F"/>
    <w:rsid w:val="005B30D1"/>
    <w:rsid w:val="005B48DC"/>
    <w:rsid w:val="005B5E62"/>
    <w:rsid w:val="005C035F"/>
    <w:rsid w:val="005C4C15"/>
    <w:rsid w:val="005E31A2"/>
    <w:rsid w:val="005F2BD3"/>
    <w:rsid w:val="0060374E"/>
    <w:rsid w:val="00614BE7"/>
    <w:rsid w:val="00615FFF"/>
    <w:rsid w:val="006201C4"/>
    <w:rsid w:val="00622968"/>
    <w:rsid w:val="0063788C"/>
    <w:rsid w:val="00637B1F"/>
    <w:rsid w:val="00641214"/>
    <w:rsid w:val="00655602"/>
    <w:rsid w:val="0066252C"/>
    <w:rsid w:val="006710F3"/>
    <w:rsid w:val="00672C18"/>
    <w:rsid w:val="006758D3"/>
    <w:rsid w:val="006A2AD4"/>
    <w:rsid w:val="006A70BC"/>
    <w:rsid w:val="006B5586"/>
    <w:rsid w:val="006B6879"/>
    <w:rsid w:val="006C1EA0"/>
    <w:rsid w:val="006C2FAD"/>
    <w:rsid w:val="006E1F4C"/>
    <w:rsid w:val="006F50D0"/>
    <w:rsid w:val="00706AD6"/>
    <w:rsid w:val="007137A7"/>
    <w:rsid w:val="007156BC"/>
    <w:rsid w:val="00716670"/>
    <w:rsid w:val="00725DCB"/>
    <w:rsid w:val="00726DF7"/>
    <w:rsid w:val="00743A14"/>
    <w:rsid w:val="00745859"/>
    <w:rsid w:val="0076685C"/>
    <w:rsid w:val="00770FFC"/>
    <w:rsid w:val="00775B37"/>
    <w:rsid w:val="007A34BE"/>
    <w:rsid w:val="007A7F61"/>
    <w:rsid w:val="007B1B5F"/>
    <w:rsid w:val="007D7653"/>
    <w:rsid w:val="007E270F"/>
    <w:rsid w:val="007E4B00"/>
    <w:rsid w:val="0080038A"/>
    <w:rsid w:val="00812A17"/>
    <w:rsid w:val="00817B39"/>
    <w:rsid w:val="00821CA7"/>
    <w:rsid w:val="0082554D"/>
    <w:rsid w:val="0082742B"/>
    <w:rsid w:val="00836173"/>
    <w:rsid w:val="0084075B"/>
    <w:rsid w:val="00844597"/>
    <w:rsid w:val="00845632"/>
    <w:rsid w:val="00870C95"/>
    <w:rsid w:val="0087173E"/>
    <w:rsid w:val="008945DD"/>
    <w:rsid w:val="008A0183"/>
    <w:rsid w:val="008A1A82"/>
    <w:rsid w:val="008A4FE2"/>
    <w:rsid w:val="008C03A3"/>
    <w:rsid w:val="008C5ECD"/>
    <w:rsid w:val="008D6F74"/>
    <w:rsid w:val="008F4A1C"/>
    <w:rsid w:val="008F676E"/>
    <w:rsid w:val="00900E78"/>
    <w:rsid w:val="00902064"/>
    <w:rsid w:val="00904827"/>
    <w:rsid w:val="00921D05"/>
    <w:rsid w:val="00927B6A"/>
    <w:rsid w:val="00933F70"/>
    <w:rsid w:val="00947044"/>
    <w:rsid w:val="009578B2"/>
    <w:rsid w:val="00990DF2"/>
    <w:rsid w:val="00991E3D"/>
    <w:rsid w:val="00997895"/>
    <w:rsid w:val="009A03CC"/>
    <w:rsid w:val="009B3064"/>
    <w:rsid w:val="009B770D"/>
    <w:rsid w:val="009C6CD8"/>
    <w:rsid w:val="009D27B9"/>
    <w:rsid w:val="009D4157"/>
    <w:rsid w:val="009E07B5"/>
    <w:rsid w:val="009F5C14"/>
    <w:rsid w:val="00A0146B"/>
    <w:rsid w:val="00A112AF"/>
    <w:rsid w:val="00A15A14"/>
    <w:rsid w:val="00A17015"/>
    <w:rsid w:val="00A33E8C"/>
    <w:rsid w:val="00A36B6B"/>
    <w:rsid w:val="00A61E2D"/>
    <w:rsid w:val="00A71DFC"/>
    <w:rsid w:val="00A92524"/>
    <w:rsid w:val="00AA0BEF"/>
    <w:rsid w:val="00AB60D9"/>
    <w:rsid w:val="00AB63BE"/>
    <w:rsid w:val="00AB6EB1"/>
    <w:rsid w:val="00AC3B06"/>
    <w:rsid w:val="00AC6640"/>
    <w:rsid w:val="00AE0895"/>
    <w:rsid w:val="00AE6A91"/>
    <w:rsid w:val="00AF02D6"/>
    <w:rsid w:val="00B1145B"/>
    <w:rsid w:val="00B15939"/>
    <w:rsid w:val="00B3292E"/>
    <w:rsid w:val="00B43BFD"/>
    <w:rsid w:val="00B453AA"/>
    <w:rsid w:val="00B4786A"/>
    <w:rsid w:val="00B50D7F"/>
    <w:rsid w:val="00B63493"/>
    <w:rsid w:val="00B819F1"/>
    <w:rsid w:val="00B82551"/>
    <w:rsid w:val="00B86A71"/>
    <w:rsid w:val="00BC21B7"/>
    <w:rsid w:val="00BC62F8"/>
    <w:rsid w:val="00BD30BD"/>
    <w:rsid w:val="00BD7212"/>
    <w:rsid w:val="00BE04D4"/>
    <w:rsid w:val="00BE086B"/>
    <w:rsid w:val="00BE33CE"/>
    <w:rsid w:val="00BE6B8D"/>
    <w:rsid w:val="00BF3D37"/>
    <w:rsid w:val="00BF6AE0"/>
    <w:rsid w:val="00BF6E1D"/>
    <w:rsid w:val="00C07677"/>
    <w:rsid w:val="00C137DB"/>
    <w:rsid w:val="00C30B8A"/>
    <w:rsid w:val="00C3259E"/>
    <w:rsid w:val="00C4611C"/>
    <w:rsid w:val="00C470E1"/>
    <w:rsid w:val="00C47E52"/>
    <w:rsid w:val="00C52F79"/>
    <w:rsid w:val="00C56A82"/>
    <w:rsid w:val="00C74AD2"/>
    <w:rsid w:val="00C842F8"/>
    <w:rsid w:val="00CA112E"/>
    <w:rsid w:val="00CA1AAE"/>
    <w:rsid w:val="00CA6D7E"/>
    <w:rsid w:val="00CD31ED"/>
    <w:rsid w:val="00D031C3"/>
    <w:rsid w:val="00D11B1C"/>
    <w:rsid w:val="00D11D64"/>
    <w:rsid w:val="00D1627B"/>
    <w:rsid w:val="00D35844"/>
    <w:rsid w:val="00D3733B"/>
    <w:rsid w:val="00D4178B"/>
    <w:rsid w:val="00D54794"/>
    <w:rsid w:val="00D62CAE"/>
    <w:rsid w:val="00D81280"/>
    <w:rsid w:val="00D827BB"/>
    <w:rsid w:val="00D91761"/>
    <w:rsid w:val="00DA09CF"/>
    <w:rsid w:val="00DB7FC2"/>
    <w:rsid w:val="00DC24CD"/>
    <w:rsid w:val="00DD06DA"/>
    <w:rsid w:val="00DE0BB3"/>
    <w:rsid w:val="00DE24D7"/>
    <w:rsid w:val="00E00D2E"/>
    <w:rsid w:val="00E05622"/>
    <w:rsid w:val="00E13B0E"/>
    <w:rsid w:val="00E148D0"/>
    <w:rsid w:val="00E379FB"/>
    <w:rsid w:val="00E40167"/>
    <w:rsid w:val="00E42DDA"/>
    <w:rsid w:val="00E66746"/>
    <w:rsid w:val="00E75890"/>
    <w:rsid w:val="00E76B3E"/>
    <w:rsid w:val="00E87790"/>
    <w:rsid w:val="00E96290"/>
    <w:rsid w:val="00EB05F4"/>
    <w:rsid w:val="00EB0A5F"/>
    <w:rsid w:val="00EB3DC4"/>
    <w:rsid w:val="00ED0099"/>
    <w:rsid w:val="00ED18BF"/>
    <w:rsid w:val="00ED1C13"/>
    <w:rsid w:val="00EE4C91"/>
    <w:rsid w:val="00EF7FEF"/>
    <w:rsid w:val="00F10889"/>
    <w:rsid w:val="00F12DE5"/>
    <w:rsid w:val="00F25076"/>
    <w:rsid w:val="00F424AA"/>
    <w:rsid w:val="00F441EB"/>
    <w:rsid w:val="00F55845"/>
    <w:rsid w:val="00F64747"/>
    <w:rsid w:val="00F83033"/>
    <w:rsid w:val="00F94100"/>
    <w:rsid w:val="00FA3EC9"/>
    <w:rsid w:val="00FA779A"/>
    <w:rsid w:val="00FB2205"/>
    <w:rsid w:val="00FB2A3C"/>
    <w:rsid w:val="00FC3BDA"/>
    <w:rsid w:val="00FC7DC9"/>
    <w:rsid w:val="00FD7729"/>
    <w:rsid w:val="00FD7A87"/>
    <w:rsid w:val="00FE5412"/>
    <w:rsid w:val="00FE6CCE"/>
    <w:rsid w:val="00FF3136"/>
    <w:rsid w:val="00FF7417"/>
    <w:rsid w:val="1E8C75C7"/>
    <w:rsid w:val="3456FB5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BA600B"/>
  <w15:docId w15:val="{FC6364A8-481C-4AAD-9F0D-6D9C8A97A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73515"/>
    <w:pPr>
      <w:spacing w:before="100" w:beforeAutospacing="1" w:after="119" w:line="240" w:lineRule="auto"/>
      <w:outlineLvl w:val="1"/>
    </w:pPr>
    <w:rPr>
      <w:rFonts w:ascii="Times New Roman" w:eastAsia="Times New Roman" w:hAnsi="Times New Roman" w:cs="Times New Roman"/>
      <w:b/>
      <w:bCs/>
      <w:color w:val="000000"/>
      <w:sz w:val="36"/>
      <w:szCs w:val="36"/>
      <w:lang w:eastAsia="fr-FR"/>
    </w:rPr>
  </w:style>
  <w:style w:type="paragraph" w:styleId="Heading3">
    <w:name w:val="heading 3"/>
    <w:basedOn w:val="Normal"/>
    <w:link w:val="Heading3Char"/>
    <w:uiPriority w:val="9"/>
    <w:qFormat/>
    <w:rsid w:val="00173515"/>
    <w:pPr>
      <w:spacing w:before="100" w:beforeAutospacing="1" w:after="119" w:line="240" w:lineRule="auto"/>
      <w:outlineLvl w:val="2"/>
    </w:pPr>
    <w:rPr>
      <w:rFonts w:ascii="Times New Roman" w:eastAsia="Times New Roman" w:hAnsi="Times New Roman" w:cs="Times New Roman"/>
      <w:b/>
      <w:bCs/>
      <w:color w:val="000000"/>
      <w:sz w:val="27"/>
      <w:szCs w:val="27"/>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1CC"/>
    <w:pPr>
      <w:ind w:left="720"/>
      <w:contextualSpacing/>
    </w:pPr>
  </w:style>
  <w:style w:type="character" w:styleId="Strong">
    <w:name w:val="Strong"/>
    <w:basedOn w:val="DefaultParagraphFont"/>
    <w:uiPriority w:val="22"/>
    <w:qFormat/>
    <w:rsid w:val="00ED18BF"/>
    <w:rPr>
      <w:b/>
      <w:bCs/>
    </w:rPr>
  </w:style>
  <w:style w:type="table" w:styleId="TableGrid">
    <w:name w:val="Table Grid"/>
    <w:basedOn w:val="TableNormal"/>
    <w:uiPriority w:val="59"/>
    <w:rsid w:val="00825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73515"/>
    <w:pPr>
      <w:spacing w:before="100" w:beforeAutospacing="1" w:after="119" w:line="240" w:lineRule="auto"/>
    </w:pPr>
    <w:rPr>
      <w:rFonts w:ascii="Times New Roman" w:eastAsia="Times New Roman" w:hAnsi="Times New Roman" w:cs="Times New Roman"/>
      <w:color w:val="000000"/>
      <w:sz w:val="24"/>
      <w:szCs w:val="24"/>
      <w:lang w:eastAsia="fr-FR"/>
    </w:rPr>
  </w:style>
  <w:style w:type="character" w:customStyle="1" w:styleId="Heading2Char">
    <w:name w:val="Heading 2 Char"/>
    <w:basedOn w:val="DefaultParagraphFont"/>
    <w:link w:val="Heading2"/>
    <w:uiPriority w:val="9"/>
    <w:rsid w:val="00173515"/>
    <w:rPr>
      <w:rFonts w:ascii="Times New Roman" w:eastAsia="Times New Roman" w:hAnsi="Times New Roman" w:cs="Times New Roman"/>
      <w:b/>
      <w:bCs/>
      <w:color w:val="000000"/>
      <w:sz w:val="36"/>
      <w:szCs w:val="36"/>
      <w:lang w:eastAsia="fr-FR"/>
    </w:rPr>
  </w:style>
  <w:style w:type="character" w:customStyle="1" w:styleId="Heading3Char">
    <w:name w:val="Heading 3 Char"/>
    <w:basedOn w:val="DefaultParagraphFont"/>
    <w:link w:val="Heading3"/>
    <w:uiPriority w:val="9"/>
    <w:rsid w:val="00173515"/>
    <w:rPr>
      <w:rFonts w:ascii="Times New Roman" w:eastAsia="Times New Roman" w:hAnsi="Times New Roman" w:cs="Times New Roman"/>
      <w:b/>
      <w:bCs/>
      <w:color w:val="000000"/>
      <w:sz w:val="27"/>
      <w:szCs w:val="27"/>
      <w:lang w:eastAsia="fr-FR"/>
    </w:rPr>
  </w:style>
  <w:style w:type="paragraph" w:styleId="Header">
    <w:name w:val="header"/>
    <w:basedOn w:val="Normal"/>
    <w:link w:val="HeaderChar"/>
    <w:uiPriority w:val="99"/>
    <w:unhideWhenUsed/>
    <w:rsid w:val="00173515"/>
    <w:pPr>
      <w:tabs>
        <w:tab w:val="center" w:pos="4536"/>
        <w:tab w:val="right" w:pos="9072"/>
      </w:tabs>
      <w:spacing w:after="0" w:line="240" w:lineRule="auto"/>
    </w:pPr>
  </w:style>
  <w:style w:type="character" w:customStyle="1" w:styleId="HeaderChar">
    <w:name w:val="Header Char"/>
    <w:basedOn w:val="DefaultParagraphFont"/>
    <w:link w:val="Header"/>
    <w:uiPriority w:val="99"/>
    <w:rsid w:val="00173515"/>
  </w:style>
  <w:style w:type="paragraph" w:styleId="Footer">
    <w:name w:val="footer"/>
    <w:basedOn w:val="Normal"/>
    <w:link w:val="FooterChar"/>
    <w:uiPriority w:val="99"/>
    <w:unhideWhenUsed/>
    <w:rsid w:val="00173515"/>
    <w:pPr>
      <w:tabs>
        <w:tab w:val="center" w:pos="4536"/>
        <w:tab w:val="right" w:pos="9072"/>
      </w:tabs>
      <w:spacing w:after="0" w:line="240" w:lineRule="auto"/>
    </w:pPr>
  </w:style>
  <w:style w:type="character" w:customStyle="1" w:styleId="FooterChar">
    <w:name w:val="Footer Char"/>
    <w:basedOn w:val="DefaultParagraphFont"/>
    <w:link w:val="Footer"/>
    <w:uiPriority w:val="99"/>
    <w:rsid w:val="00173515"/>
  </w:style>
  <w:style w:type="paragraph" w:styleId="BalloonText">
    <w:name w:val="Balloon Text"/>
    <w:basedOn w:val="Normal"/>
    <w:link w:val="BalloonTextChar"/>
    <w:uiPriority w:val="99"/>
    <w:semiHidden/>
    <w:unhideWhenUsed/>
    <w:rsid w:val="00D358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844"/>
    <w:rPr>
      <w:rFonts w:ascii="Tahoma" w:hAnsi="Tahoma" w:cs="Tahoma"/>
      <w:sz w:val="16"/>
      <w:szCs w:val="16"/>
    </w:rPr>
  </w:style>
  <w:style w:type="character" w:styleId="CommentReference">
    <w:name w:val="annotation reference"/>
    <w:basedOn w:val="DefaultParagraphFont"/>
    <w:uiPriority w:val="99"/>
    <w:semiHidden/>
    <w:unhideWhenUsed/>
    <w:rsid w:val="003D5660"/>
    <w:rPr>
      <w:sz w:val="16"/>
      <w:szCs w:val="16"/>
    </w:rPr>
  </w:style>
  <w:style w:type="paragraph" w:styleId="CommentText">
    <w:name w:val="annotation text"/>
    <w:basedOn w:val="Normal"/>
    <w:link w:val="CommentTextChar"/>
    <w:uiPriority w:val="99"/>
    <w:semiHidden/>
    <w:unhideWhenUsed/>
    <w:rsid w:val="003D5660"/>
    <w:pPr>
      <w:spacing w:line="240" w:lineRule="auto"/>
    </w:pPr>
    <w:rPr>
      <w:sz w:val="20"/>
      <w:szCs w:val="20"/>
    </w:rPr>
  </w:style>
  <w:style w:type="character" w:customStyle="1" w:styleId="CommentTextChar">
    <w:name w:val="Comment Text Char"/>
    <w:basedOn w:val="DefaultParagraphFont"/>
    <w:link w:val="CommentText"/>
    <w:uiPriority w:val="99"/>
    <w:semiHidden/>
    <w:rsid w:val="003D5660"/>
    <w:rPr>
      <w:sz w:val="20"/>
      <w:szCs w:val="20"/>
    </w:rPr>
  </w:style>
  <w:style w:type="paragraph" w:styleId="CommentSubject">
    <w:name w:val="annotation subject"/>
    <w:basedOn w:val="CommentText"/>
    <w:next w:val="CommentText"/>
    <w:link w:val="CommentSubjectChar"/>
    <w:uiPriority w:val="99"/>
    <w:semiHidden/>
    <w:unhideWhenUsed/>
    <w:rsid w:val="003D5660"/>
    <w:rPr>
      <w:b/>
      <w:bCs/>
    </w:rPr>
  </w:style>
  <w:style w:type="character" w:customStyle="1" w:styleId="CommentSubjectChar">
    <w:name w:val="Comment Subject Char"/>
    <w:basedOn w:val="CommentTextChar"/>
    <w:link w:val="CommentSubject"/>
    <w:uiPriority w:val="99"/>
    <w:semiHidden/>
    <w:rsid w:val="003D5660"/>
    <w:rPr>
      <w:b/>
      <w:bCs/>
      <w:sz w:val="20"/>
      <w:szCs w:val="20"/>
    </w:rPr>
  </w:style>
  <w:style w:type="character" w:styleId="Hyperlink">
    <w:name w:val="Hyperlink"/>
    <w:basedOn w:val="DefaultParagraphFont"/>
    <w:uiPriority w:val="99"/>
    <w:unhideWhenUsed/>
    <w:rsid w:val="00E00D2E"/>
    <w:rPr>
      <w:color w:val="0000FF"/>
      <w:u w:val="single"/>
    </w:rPr>
  </w:style>
  <w:style w:type="paragraph" w:styleId="FootnoteText">
    <w:name w:val="footnote text"/>
    <w:basedOn w:val="Normal"/>
    <w:link w:val="FootnoteTextChar"/>
    <w:uiPriority w:val="99"/>
    <w:semiHidden/>
    <w:unhideWhenUsed/>
    <w:rsid w:val="002F43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43EA"/>
    <w:rPr>
      <w:sz w:val="20"/>
      <w:szCs w:val="20"/>
    </w:rPr>
  </w:style>
  <w:style w:type="character" w:styleId="FootnoteReference">
    <w:name w:val="footnote reference"/>
    <w:basedOn w:val="DefaultParagraphFont"/>
    <w:uiPriority w:val="99"/>
    <w:semiHidden/>
    <w:unhideWhenUsed/>
    <w:rsid w:val="002F43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84703">
      <w:bodyDiv w:val="1"/>
      <w:marLeft w:val="0"/>
      <w:marRight w:val="0"/>
      <w:marTop w:val="0"/>
      <w:marBottom w:val="0"/>
      <w:divBdr>
        <w:top w:val="none" w:sz="0" w:space="0" w:color="auto"/>
        <w:left w:val="none" w:sz="0" w:space="0" w:color="auto"/>
        <w:bottom w:val="none" w:sz="0" w:space="0" w:color="auto"/>
        <w:right w:val="none" w:sz="0" w:space="0" w:color="auto"/>
      </w:divBdr>
    </w:div>
    <w:div w:id="410858699">
      <w:bodyDiv w:val="1"/>
      <w:marLeft w:val="0"/>
      <w:marRight w:val="0"/>
      <w:marTop w:val="0"/>
      <w:marBottom w:val="0"/>
      <w:divBdr>
        <w:top w:val="none" w:sz="0" w:space="0" w:color="auto"/>
        <w:left w:val="none" w:sz="0" w:space="0" w:color="auto"/>
        <w:bottom w:val="none" w:sz="0" w:space="0" w:color="auto"/>
        <w:right w:val="none" w:sz="0" w:space="0" w:color="auto"/>
      </w:divBdr>
    </w:div>
    <w:div w:id="902763917">
      <w:bodyDiv w:val="1"/>
      <w:marLeft w:val="0"/>
      <w:marRight w:val="0"/>
      <w:marTop w:val="0"/>
      <w:marBottom w:val="0"/>
      <w:divBdr>
        <w:top w:val="none" w:sz="0" w:space="0" w:color="auto"/>
        <w:left w:val="none" w:sz="0" w:space="0" w:color="auto"/>
        <w:bottom w:val="none" w:sz="0" w:space="0" w:color="auto"/>
        <w:right w:val="none" w:sz="0" w:space="0" w:color="auto"/>
      </w:divBdr>
    </w:div>
    <w:div w:id="918753401">
      <w:bodyDiv w:val="1"/>
      <w:marLeft w:val="0"/>
      <w:marRight w:val="0"/>
      <w:marTop w:val="0"/>
      <w:marBottom w:val="0"/>
      <w:divBdr>
        <w:top w:val="none" w:sz="0" w:space="0" w:color="auto"/>
        <w:left w:val="none" w:sz="0" w:space="0" w:color="auto"/>
        <w:bottom w:val="none" w:sz="0" w:space="0" w:color="auto"/>
        <w:right w:val="none" w:sz="0" w:space="0" w:color="auto"/>
      </w:divBdr>
    </w:div>
    <w:div w:id="1741318884">
      <w:bodyDiv w:val="1"/>
      <w:marLeft w:val="0"/>
      <w:marRight w:val="0"/>
      <w:marTop w:val="0"/>
      <w:marBottom w:val="0"/>
      <w:divBdr>
        <w:top w:val="none" w:sz="0" w:space="0" w:color="auto"/>
        <w:left w:val="none" w:sz="0" w:space="0" w:color="auto"/>
        <w:bottom w:val="none" w:sz="0" w:space="0" w:color="auto"/>
        <w:right w:val="none" w:sz="0" w:space="0" w:color="auto"/>
      </w:divBdr>
    </w:div>
    <w:div w:id="1862428245">
      <w:bodyDiv w:val="1"/>
      <w:marLeft w:val="0"/>
      <w:marRight w:val="0"/>
      <w:marTop w:val="0"/>
      <w:marBottom w:val="0"/>
      <w:divBdr>
        <w:top w:val="none" w:sz="0" w:space="0" w:color="auto"/>
        <w:left w:val="none" w:sz="0" w:space="0" w:color="auto"/>
        <w:bottom w:val="none" w:sz="0" w:space="0" w:color="auto"/>
        <w:right w:val="none" w:sz="0" w:space="0" w:color="auto"/>
      </w:divBdr>
    </w:div>
    <w:div w:id="1888950337">
      <w:bodyDiv w:val="1"/>
      <w:marLeft w:val="0"/>
      <w:marRight w:val="0"/>
      <w:marTop w:val="0"/>
      <w:marBottom w:val="0"/>
      <w:divBdr>
        <w:top w:val="none" w:sz="0" w:space="0" w:color="auto"/>
        <w:left w:val="none" w:sz="0" w:space="0" w:color="auto"/>
        <w:bottom w:val="none" w:sz="0" w:space="0" w:color="auto"/>
        <w:right w:val="none" w:sz="0" w:space="0" w:color="auto"/>
      </w:divBdr>
    </w:div>
    <w:div w:id="212541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ourse-recherche.beyrouth-amba@diplomatie.gouv.fr" TargetMode="External"/><Relationship Id="rId4" Type="http://schemas.openxmlformats.org/officeDocument/2006/relationships/settings" Target="settings.xml"/><Relationship Id="rId9" Type="http://schemas.openxmlformats.org/officeDocument/2006/relationships/hyperlink" Target="mailto:bourse-recherche.beyrouth-amba@diplomatie.gouv.fr" TargetMode="External"/></Relationships>
</file>

<file path=word/theme/theme1.xml><?xml version="1.0" encoding="utf-8"?>
<a:theme xmlns:a="http://schemas.openxmlformats.org/drawingml/2006/main" name="Thème Office">
  <a:themeElements>
    <a:clrScheme name="Composite">
      <a:dk1>
        <a:sysClr val="windowText" lastClr="000000"/>
      </a:dk1>
      <a:lt1>
        <a:sysClr val="window" lastClr="FFFFFF"/>
      </a:lt1>
      <a:dk2>
        <a:srgbClr val="5B6973"/>
      </a:dk2>
      <a:lt2>
        <a:srgbClr val="E7ECED"/>
      </a:lt2>
      <a:accent1>
        <a:srgbClr val="98C723"/>
      </a:accent1>
      <a:accent2>
        <a:srgbClr val="59B0B9"/>
      </a:accent2>
      <a:accent3>
        <a:srgbClr val="DEAE00"/>
      </a:accent3>
      <a:accent4>
        <a:srgbClr val="B77BB4"/>
      </a:accent4>
      <a:accent5>
        <a:srgbClr val="E0773C"/>
      </a:accent5>
      <a:accent6>
        <a:srgbClr val="A98D63"/>
      </a:accent6>
      <a:hlink>
        <a:srgbClr val="26CBEC"/>
      </a:hlink>
      <a:folHlink>
        <a:srgbClr val="59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47407-0517-443B-A3D3-B539393CF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1233</Words>
  <Characters>7033</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M.A.E.E</Company>
  <LinksUpToDate>false</LinksUpToDate>
  <CharactersWithSpaces>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HERPIN Fanny</dc:creator>
  <cp:lastModifiedBy>Garance Philippe</cp:lastModifiedBy>
  <cp:revision>2</cp:revision>
  <cp:lastPrinted>2022-02-02T13:39:00Z</cp:lastPrinted>
  <dcterms:created xsi:type="dcterms:W3CDTF">2022-02-24T12:43:00Z</dcterms:created>
  <dcterms:modified xsi:type="dcterms:W3CDTF">2022-02-24T12:43:00Z</dcterms:modified>
</cp:coreProperties>
</file>